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39A" w:rsidRDefault="005B639A">
      <w:pPr>
        <w:rPr>
          <w:rFonts w:cs="Times New Roman"/>
          <w:szCs w:val="24"/>
        </w:rPr>
      </w:pPr>
    </w:p>
    <w:p w:rsidR="005B639A" w:rsidRDefault="005B639A">
      <w:pPr>
        <w:rPr>
          <w:rFonts w:cs="Times New Roman"/>
          <w:szCs w:val="24"/>
        </w:rPr>
      </w:pPr>
    </w:p>
    <w:p w:rsidR="005B639A" w:rsidRDefault="005B639A">
      <w:pPr>
        <w:rPr>
          <w:rFonts w:cs="Times New Roman"/>
          <w:szCs w:val="24"/>
        </w:rPr>
      </w:pPr>
    </w:p>
    <w:p w:rsidR="005B639A" w:rsidRDefault="005B639A">
      <w:pPr>
        <w:rPr>
          <w:rFonts w:cs="Times New Roman"/>
          <w:szCs w:val="24"/>
        </w:rPr>
      </w:pPr>
    </w:p>
    <w:p w:rsidR="005B639A" w:rsidRDefault="005B639A">
      <w:pPr>
        <w:rPr>
          <w:rFonts w:cs="Times New Roman"/>
          <w:szCs w:val="24"/>
        </w:rPr>
      </w:pPr>
    </w:p>
    <w:p w:rsidR="005B639A" w:rsidRDefault="005B639A">
      <w:pPr>
        <w:rPr>
          <w:rFonts w:cs="Times New Roman"/>
          <w:szCs w:val="24"/>
        </w:rPr>
      </w:pPr>
    </w:p>
    <w:p w:rsidR="005B639A" w:rsidRDefault="005B639A" w:rsidP="005B639A">
      <w:pPr>
        <w:jc w:val="center"/>
        <w:rPr>
          <w:rFonts w:cs="Times New Roman"/>
          <w:szCs w:val="24"/>
        </w:rPr>
      </w:pPr>
      <w:r>
        <w:rPr>
          <w:rFonts w:cs="Times New Roman"/>
          <w:szCs w:val="24"/>
        </w:rPr>
        <w:t>Forensic Toxicology</w:t>
      </w:r>
    </w:p>
    <w:p w:rsidR="005B639A" w:rsidRDefault="005B639A" w:rsidP="005B639A">
      <w:pPr>
        <w:jc w:val="center"/>
        <w:rPr>
          <w:rFonts w:cs="Times New Roman"/>
          <w:szCs w:val="24"/>
        </w:rPr>
      </w:pPr>
      <w:r>
        <w:rPr>
          <w:rFonts w:cs="Times New Roman"/>
          <w:szCs w:val="24"/>
        </w:rPr>
        <w:t>Name of Student</w:t>
      </w:r>
    </w:p>
    <w:p w:rsidR="005B639A" w:rsidRDefault="005B639A" w:rsidP="005B639A">
      <w:pPr>
        <w:jc w:val="center"/>
        <w:rPr>
          <w:rFonts w:cs="Times New Roman"/>
          <w:szCs w:val="24"/>
        </w:rPr>
      </w:pPr>
      <w:r>
        <w:rPr>
          <w:rFonts w:cs="Times New Roman"/>
          <w:szCs w:val="24"/>
        </w:rPr>
        <w:t>Name of Institution</w:t>
      </w:r>
    </w:p>
    <w:p w:rsidR="005B639A" w:rsidRDefault="005B639A" w:rsidP="005B639A">
      <w:pPr>
        <w:jc w:val="center"/>
        <w:rPr>
          <w:rFonts w:cs="Times New Roman"/>
          <w:szCs w:val="24"/>
        </w:rPr>
      </w:pPr>
      <w:r>
        <w:rPr>
          <w:rFonts w:cs="Times New Roman"/>
          <w:szCs w:val="24"/>
        </w:rPr>
        <w:t>Date</w:t>
      </w:r>
      <w:r>
        <w:rPr>
          <w:rFonts w:cs="Times New Roman"/>
          <w:szCs w:val="24"/>
        </w:rPr>
        <w:br w:type="page"/>
      </w:r>
    </w:p>
    <w:p w:rsidR="004D3AD2" w:rsidRPr="00936457" w:rsidRDefault="004D2ECF" w:rsidP="00E8418E">
      <w:pPr>
        <w:ind w:firstLine="720"/>
        <w:rPr>
          <w:rFonts w:cs="Times New Roman"/>
          <w:szCs w:val="24"/>
        </w:rPr>
      </w:pPr>
      <w:r w:rsidRPr="00936457">
        <w:rPr>
          <w:rFonts w:cs="Times New Roman"/>
          <w:szCs w:val="24"/>
        </w:rPr>
        <w:lastRenderedPageBreak/>
        <w:t xml:space="preserve">Forensic toxicology aligns to the science of pharmacology whose primary directive is the derivation of quantities and various impacts of poisons and drugs within a human body. It represents a multidisciplinary field concerned with detecting and interpreting the presence of potentially toxic compounds, inclusive of drugs, within bodily fluids and tissues that have led to impairment or death of the victim. </w:t>
      </w:r>
      <w:r w:rsidR="00335B1D" w:rsidRPr="00936457">
        <w:rPr>
          <w:rFonts w:cs="Times New Roman"/>
          <w:szCs w:val="24"/>
        </w:rPr>
        <w:t xml:space="preserve">Initially, </w:t>
      </w:r>
      <w:r w:rsidR="0093389C" w:rsidRPr="00936457">
        <w:rPr>
          <w:rFonts w:cs="Times New Roman"/>
          <w:szCs w:val="24"/>
        </w:rPr>
        <w:t xml:space="preserve">the discipline </w:t>
      </w:r>
      <w:r w:rsidR="00335B1D" w:rsidRPr="00936457">
        <w:rPr>
          <w:rFonts w:cs="Times New Roman"/>
          <w:szCs w:val="24"/>
        </w:rPr>
        <w:t xml:space="preserve">was defined as postmortem chemistry, where the professionals were called coroner’s chemists. But with the growth of the discipline to include living subjects and expand beyond the morgue, the term was redefined. </w:t>
      </w:r>
      <w:r w:rsidR="004D3AD2" w:rsidRPr="00936457">
        <w:rPr>
          <w:rFonts w:cs="Times New Roman"/>
          <w:szCs w:val="24"/>
        </w:rPr>
        <w:t xml:space="preserve">The discipline is divided into </w:t>
      </w:r>
      <w:r w:rsidR="005E5538" w:rsidRPr="00936457">
        <w:rPr>
          <w:rFonts w:cs="Times New Roman"/>
          <w:szCs w:val="24"/>
        </w:rPr>
        <w:t xml:space="preserve">human performance testing, </w:t>
      </w:r>
      <w:r w:rsidR="004D3AD2" w:rsidRPr="00936457">
        <w:rPr>
          <w:rFonts w:cs="Times New Roman"/>
          <w:szCs w:val="24"/>
        </w:rPr>
        <w:t xml:space="preserve">postmortem toxicology, and forensic urine drug testing. </w:t>
      </w:r>
      <w:r w:rsidR="002D325D" w:rsidRPr="00936457">
        <w:rPr>
          <w:rFonts w:cs="Times New Roman"/>
          <w:szCs w:val="24"/>
        </w:rPr>
        <w:t>The last categorization</w:t>
      </w:r>
      <w:r w:rsidR="007824BA" w:rsidRPr="00936457">
        <w:rPr>
          <w:rFonts w:cs="Times New Roman"/>
          <w:szCs w:val="24"/>
        </w:rPr>
        <w:t xml:space="preserve"> </w:t>
      </w:r>
      <w:r w:rsidR="002D325D" w:rsidRPr="00936457">
        <w:rPr>
          <w:rFonts w:cs="Times New Roman"/>
          <w:szCs w:val="24"/>
        </w:rPr>
        <w:t>analyz</w:t>
      </w:r>
      <w:r w:rsidR="007824BA" w:rsidRPr="00936457">
        <w:rPr>
          <w:rFonts w:cs="Times New Roman"/>
          <w:szCs w:val="24"/>
        </w:rPr>
        <w:t xml:space="preserve">es a sample of urine to determine </w:t>
      </w:r>
      <w:r w:rsidR="005E5538" w:rsidRPr="00936457">
        <w:rPr>
          <w:rFonts w:cs="Times New Roman"/>
          <w:szCs w:val="24"/>
        </w:rPr>
        <w:t>existence</w:t>
      </w:r>
      <w:r w:rsidR="007824BA" w:rsidRPr="00936457">
        <w:rPr>
          <w:rFonts w:cs="Times New Roman"/>
          <w:szCs w:val="24"/>
        </w:rPr>
        <w:t xml:space="preserve"> of drugs or their </w:t>
      </w:r>
      <w:r w:rsidR="005E5538" w:rsidRPr="00936457">
        <w:rPr>
          <w:rFonts w:cs="Times New Roman"/>
          <w:szCs w:val="24"/>
        </w:rPr>
        <w:t>constituent substances</w:t>
      </w:r>
      <w:r w:rsidR="007824BA" w:rsidRPr="00936457">
        <w:rPr>
          <w:rFonts w:cs="Times New Roman"/>
          <w:szCs w:val="24"/>
        </w:rPr>
        <w:t xml:space="preserve"> to </w:t>
      </w:r>
      <w:r w:rsidR="005E5538" w:rsidRPr="00936457">
        <w:rPr>
          <w:rFonts w:cs="Times New Roman"/>
          <w:szCs w:val="24"/>
        </w:rPr>
        <w:t>denote antecedent consumption</w:t>
      </w:r>
      <w:r w:rsidR="007824BA" w:rsidRPr="00936457">
        <w:rPr>
          <w:rFonts w:cs="Times New Roman"/>
          <w:szCs w:val="24"/>
        </w:rPr>
        <w:t xml:space="preserve"> or abuse. Human-performance forensic toxicology evaluates breath, blood and other relevant specimens for the presence of ethanol, and other chemicals and drugs, and evaluates the rate of presence as a determinant of modifying human behavior or performance. In retrospect, forensic toxicology targets at determining the role and correlation between an event and the concentration or presence of any toxins </w:t>
      </w:r>
      <w:r w:rsidR="005E5538" w:rsidRPr="00936457">
        <w:rPr>
          <w:rFonts w:cs="Times New Roman"/>
          <w:szCs w:val="24"/>
        </w:rPr>
        <w:t>identified</w:t>
      </w:r>
      <w:r w:rsidR="007824BA" w:rsidRPr="00936457">
        <w:rPr>
          <w:rFonts w:cs="Times New Roman"/>
          <w:szCs w:val="24"/>
        </w:rPr>
        <w:t xml:space="preserve"> after </w:t>
      </w:r>
      <w:r w:rsidR="005E5538" w:rsidRPr="00936457">
        <w:rPr>
          <w:rFonts w:cs="Times New Roman"/>
          <w:szCs w:val="24"/>
        </w:rPr>
        <w:t>eventuality</w:t>
      </w:r>
      <w:r w:rsidR="007824BA" w:rsidRPr="00936457">
        <w:rPr>
          <w:rFonts w:cs="Times New Roman"/>
          <w:szCs w:val="24"/>
        </w:rPr>
        <w:t xml:space="preserve"> of such an event. Prospective aspects of the discipline take into account available data of screening prior to the presence of toxins to evaluate the resulting adverse effects. </w:t>
      </w:r>
    </w:p>
    <w:p w:rsidR="002D325D" w:rsidRPr="00936457" w:rsidRDefault="004D2ECF" w:rsidP="00E8418E">
      <w:pPr>
        <w:ind w:firstLine="720"/>
        <w:rPr>
          <w:rFonts w:cs="Times New Roman"/>
          <w:szCs w:val="24"/>
        </w:rPr>
      </w:pPr>
      <w:r w:rsidRPr="00936457">
        <w:rPr>
          <w:rFonts w:cs="Times New Roman"/>
          <w:szCs w:val="24"/>
        </w:rPr>
        <w:t>In most cases where analysis of poison is required, the forensic toxicologist is involved in the determination of the cause of death.</w:t>
      </w:r>
      <w:r w:rsidR="00335B1D" w:rsidRPr="00936457">
        <w:rPr>
          <w:rFonts w:cs="Times New Roman"/>
          <w:szCs w:val="24"/>
        </w:rPr>
        <w:t xml:space="preserve"> Coupled with the efforts of a coro</w:t>
      </w:r>
      <w:r w:rsidR="005E5538" w:rsidRPr="00936457">
        <w:rPr>
          <w:rFonts w:cs="Times New Roman"/>
          <w:szCs w:val="24"/>
        </w:rPr>
        <w:t>ner, the two use their skills on a corpse</w:t>
      </w:r>
      <w:r w:rsidR="00335B1D" w:rsidRPr="00936457">
        <w:rPr>
          <w:rFonts w:cs="Times New Roman"/>
          <w:szCs w:val="24"/>
        </w:rPr>
        <w:t xml:space="preserve">. The forensic toxicologist analysis will focus on what toxins are present in the system relevant to the time of death, the history of drugs use, and the general health of the victim in the determination of what roles the toxins played to cause death. The popular cases and applications of forensic toxicology is the analysis of the blood alcohol level. In such scenarios, the toxicologists’ findings are used in to determine if the person adhered to the state approved </w:t>
      </w:r>
      <w:r w:rsidR="00335B1D" w:rsidRPr="00936457">
        <w:rPr>
          <w:rFonts w:cs="Times New Roman"/>
          <w:szCs w:val="24"/>
        </w:rPr>
        <w:lastRenderedPageBreak/>
        <w:t xml:space="preserve">level of intoxication. </w:t>
      </w:r>
      <w:r w:rsidRPr="00936457">
        <w:rPr>
          <w:rFonts w:cs="Times New Roman"/>
          <w:szCs w:val="24"/>
        </w:rPr>
        <w:t xml:space="preserve">The analysis and evaluation included is performed in a manner presentable in court as a form of defense or prosecution. </w:t>
      </w:r>
    </w:p>
    <w:p w:rsidR="00EC1C4B" w:rsidRDefault="00EC1C4B" w:rsidP="00EC1C4B">
      <w:pPr>
        <w:ind w:firstLine="720"/>
        <w:rPr>
          <w:rFonts w:cs="Times New Roman"/>
          <w:szCs w:val="24"/>
        </w:rPr>
      </w:pPr>
      <w:r>
        <w:rPr>
          <w:rFonts w:cs="Times New Roman"/>
          <w:szCs w:val="24"/>
        </w:rPr>
        <w:t xml:space="preserve">The field of forensic toxicology is a scientific setup obligated to apply acceptable scientific practices </w:t>
      </w:r>
      <w:r w:rsidR="009A1631">
        <w:rPr>
          <w:rFonts w:cs="Times New Roman"/>
          <w:szCs w:val="24"/>
        </w:rPr>
        <w:t xml:space="preserve">and methods </w:t>
      </w:r>
      <w:r>
        <w:rPr>
          <w:rFonts w:cs="Times New Roman"/>
          <w:szCs w:val="24"/>
        </w:rPr>
        <w:t xml:space="preserve">in cases where the effects of toxins </w:t>
      </w:r>
      <w:r w:rsidR="009A1631">
        <w:rPr>
          <w:rFonts w:cs="Times New Roman"/>
          <w:szCs w:val="24"/>
        </w:rPr>
        <w:t xml:space="preserve">were adverse </w:t>
      </w:r>
      <w:r>
        <w:rPr>
          <w:rFonts w:cs="Times New Roman"/>
          <w:szCs w:val="24"/>
        </w:rPr>
        <w:t>in a human create administrative and medical-legal consequences since the findings are likely to be used in court. The aspects in this consideration include the relevant compound within the biological matrices and interpretation of respective results. Clinical toxicology differs from forensic toxicology on the bases of in utero doping control</w:t>
      </w:r>
      <w:r w:rsidR="009A1631">
        <w:rPr>
          <w:rFonts w:cs="Times New Roman"/>
          <w:szCs w:val="24"/>
        </w:rPr>
        <w:t xml:space="preserve"> and utero drug exposure</w:t>
      </w:r>
      <w:r>
        <w:rPr>
          <w:rFonts w:cs="Times New Roman"/>
          <w:szCs w:val="24"/>
        </w:rPr>
        <w:t xml:space="preserve">, but they both adopt similar analytical techniques </w:t>
      </w:r>
      <w:sdt>
        <w:sdtPr>
          <w:rPr>
            <w:rFonts w:cs="Times New Roman"/>
            <w:szCs w:val="24"/>
          </w:rPr>
          <w:id w:val="1517343456"/>
          <w:citation/>
        </w:sdtPr>
        <w:sdtContent>
          <w:r>
            <w:rPr>
              <w:rFonts w:cs="Times New Roman"/>
              <w:szCs w:val="24"/>
            </w:rPr>
            <w:fldChar w:fldCharType="begin"/>
          </w:r>
          <w:r>
            <w:rPr>
              <w:rFonts w:cs="Times New Roman"/>
              <w:szCs w:val="24"/>
            </w:rPr>
            <w:instrText xml:space="preserve"> CITATION Pet17 \l 1033 </w:instrText>
          </w:r>
          <w:r>
            <w:rPr>
              <w:rFonts w:cs="Times New Roman"/>
              <w:szCs w:val="24"/>
            </w:rPr>
            <w:fldChar w:fldCharType="separate"/>
          </w:r>
          <w:r w:rsidRPr="003E3B7A">
            <w:rPr>
              <w:rFonts w:cs="Times New Roman"/>
              <w:noProof/>
              <w:szCs w:val="24"/>
            </w:rPr>
            <w:t>(Peters, Wissenbach, Busardo, Marchei, &amp; Pichini, 2017)</w:t>
          </w:r>
          <w:r>
            <w:rPr>
              <w:rFonts w:cs="Times New Roman"/>
              <w:szCs w:val="24"/>
            </w:rPr>
            <w:fldChar w:fldCharType="end"/>
          </w:r>
        </w:sdtContent>
      </w:sdt>
      <w:r>
        <w:rPr>
          <w:rFonts w:cs="Times New Roman"/>
          <w:szCs w:val="24"/>
        </w:rPr>
        <w:t xml:space="preserve">. The methods </w:t>
      </w:r>
      <w:r w:rsidR="009A1631">
        <w:rPr>
          <w:rFonts w:cs="Times New Roman"/>
          <w:szCs w:val="24"/>
        </w:rPr>
        <w:t xml:space="preserve">for analysis </w:t>
      </w:r>
      <w:r>
        <w:rPr>
          <w:rFonts w:cs="Times New Roman"/>
          <w:szCs w:val="24"/>
        </w:rPr>
        <w:t xml:space="preserve">adopted in forensic toxicology must </w:t>
      </w:r>
      <w:r w:rsidR="009A1631">
        <w:rPr>
          <w:rFonts w:cs="Times New Roman"/>
          <w:szCs w:val="24"/>
        </w:rPr>
        <w:t xml:space="preserve">maintain high </w:t>
      </w:r>
      <w:r>
        <w:rPr>
          <w:rFonts w:cs="Times New Roman"/>
          <w:szCs w:val="24"/>
        </w:rPr>
        <w:t>quality and ensur</w:t>
      </w:r>
      <w:r w:rsidR="009A1631">
        <w:rPr>
          <w:rFonts w:cs="Times New Roman"/>
          <w:szCs w:val="24"/>
        </w:rPr>
        <w:t xml:space="preserve">e the </w:t>
      </w:r>
      <w:r>
        <w:rPr>
          <w:rFonts w:cs="Times New Roman"/>
          <w:szCs w:val="24"/>
        </w:rPr>
        <w:t>results</w:t>
      </w:r>
      <w:r w:rsidR="009A1631">
        <w:rPr>
          <w:rFonts w:cs="Times New Roman"/>
          <w:szCs w:val="24"/>
        </w:rPr>
        <w:t xml:space="preserve"> are reliable</w:t>
      </w:r>
      <w:r>
        <w:rPr>
          <w:rFonts w:cs="Times New Roman"/>
          <w:szCs w:val="24"/>
        </w:rPr>
        <w:t xml:space="preserve">. The external courtroom consequences are grave in situations of error or false findings. As a result, it is imperative that all methods adopted in forensic toxicology to be monitored continuously, inclusive of method validation </w:t>
      </w:r>
      <w:r w:rsidR="009A1631">
        <w:rPr>
          <w:rFonts w:cs="Times New Roman"/>
          <w:szCs w:val="24"/>
        </w:rPr>
        <w:t>before</w:t>
      </w:r>
      <w:r>
        <w:rPr>
          <w:rFonts w:cs="Times New Roman"/>
          <w:szCs w:val="24"/>
        </w:rPr>
        <w:t xml:space="preserve"> and control measures during even the most routine of applications </w:t>
      </w:r>
      <w:sdt>
        <w:sdtPr>
          <w:rPr>
            <w:rFonts w:cs="Times New Roman"/>
            <w:szCs w:val="24"/>
          </w:rPr>
          <w:id w:val="1234441011"/>
          <w:citation/>
        </w:sdtPr>
        <w:sdtContent>
          <w:r>
            <w:rPr>
              <w:rFonts w:cs="Times New Roman"/>
              <w:szCs w:val="24"/>
            </w:rPr>
            <w:fldChar w:fldCharType="begin"/>
          </w:r>
          <w:r>
            <w:rPr>
              <w:rFonts w:cs="Times New Roman"/>
              <w:szCs w:val="24"/>
            </w:rPr>
            <w:instrText xml:space="preserve"> CITATION Pet17 \l 1033 </w:instrText>
          </w:r>
          <w:r>
            <w:rPr>
              <w:rFonts w:cs="Times New Roman"/>
              <w:szCs w:val="24"/>
            </w:rPr>
            <w:fldChar w:fldCharType="separate"/>
          </w:r>
          <w:r w:rsidRPr="00341066">
            <w:rPr>
              <w:rFonts w:cs="Times New Roman"/>
              <w:noProof/>
              <w:szCs w:val="24"/>
            </w:rPr>
            <w:t>(Peters, Wissenbach, Busardo, Marchei, &amp; Pichini, 2017)</w:t>
          </w:r>
          <w:r>
            <w:rPr>
              <w:rFonts w:cs="Times New Roman"/>
              <w:szCs w:val="24"/>
            </w:rPr>
            <w:fldChar w:fldCharType="end"/>
          </w:r>
        </w:sdtContent>
      </w:sdt>
      <w:r>
        <w:rPr>
          <w:rFonts w:cs="Times New Roman"/>
          <w:szCs w:val="24"/>
        </w:rPr>
        <w:t xml:space="preserve">. There is necessity to integrate such a system with general quality management system according to international symptoms. </w:t>
      </w:r>
    </w:p>
    <w:p w:rsidR="00EC1C4B" w:rsidRDefault="00EC1C4B" w:rsidP="00EC1C4B">
      <w:pPr>
        <w:ind w:firstLine="720"/>
        <w:rPr>
          <w:rFonts w:cs="Times New Roman"/>
          <w:szCs w:val="24"/>
        </w:rPr>
      </w:pPr>
      <w:r>
        <w:rPr>
          <w:rFonts w:cs="Times New Roman"/>
          <w:szCs w:val="24"/>
        </w:rPr>
        <w:t xml:space="preserve">Method validation and routine quality control can only demonstrate and monitor a method’s quality and performance, but it cannot improve it. The method of development is the determinant and it must take into account the condition of the analysis and evaluation, and the intended reason behind the test. The methods adopted for the paper, mass spectrometric technique, combined the high quality of separation capabilities of chromatography with the selective and sensitive detection system </w:t>
      </w:r>
      <w:sdt>
        <w:sdtPr>
          <w:rPr>
            <w:rFonts w:cs="Times New Roman"/>
            <w:szCs w:val="24"/>
          </w:rPr>
          <w:id w:val="1071860236"/>
          <w:citation/>
        </w:sdtPr>
        <w:sdtContent>
          <w:r>
            <w:rPr>
              <w:rFonts w:cs="Times New Roman"/>
              <w:szCs w:val="24"/>
            </w:rPr>
            <w:fldChar w:fldCharType="begin"/>
          </w:r>
          <w:r>
            <w:rPr>
              <w:rFonts w:cs="Times New Roman"/>
              <w:szCs w:val="24"/>
            </w:rPr>
            <w:instrText xml:space="preserve"> CITATION Pet17 \l 1033 </w:instrText>
          </w:r>
          <w:r>
            <w:rPr>
              <w:rFonts w:cs="Times New Roman"/>
              <w:szCs w:val="24"/>
            </w:rPr>
            <w:fldChar w:fldCharType="separate"/>
          </w:r>
          <w:r w:rsidRPr="00685C8E">
            <w:rPr>
              <w:rFonts w:cs="Times New Roman"/>
              <w:noProof/>
              <w:szCs w:val="24"/>
            </w:rPr>
            <w:t>(Peters, Wissenbach, Busardo, Marchei, &amp; Pichini, 2017)</w:t>
          </w:r>
          <w:r>
            <w:rPr>
              <w:rFonts w:cs="Times New Roman"/>
              <w:szCs w:val="24"/>
            </w:rPr>
            <w:fldChar w:fldCharType="end"/>
          </w:r>
        </w:sdtContent>
      </w:sdt>
      <w:r>
        <w:rPr>
          <w:rFonts w:cs="Times New Roman"/>
          <w:szCs w:val="24"/>
        </w:rPr>
        <w:t xml:space="preserve">. The first step involves acquiring a clear definition of the purpose of the technique to be </w:t>
      </w:r>
      <w:r>
        <w:rPr>
          <w:rFonts w:cs="Times New Roman"/>
          <w:szCs w:val="24"/>
        </w:rPr>
        <w:lastRenderedPageBreak/>
        <w:t xml:space="preserve">adopted. The purpose defines the means of sample preparation, detection, and chromatographic systems. For a generally unknown subject topic, qualitative analysis is sufficient used for systematic toxicological analysis. Such methods employ the use of a sample matrix, a non-targeted detection system, and a generic separation system. The sample matrix usually contains high </w:t>
      </w:r>
      <w:proofErr w:type="spellStart"/>
      <w:r>
        <w:rPr>
          <w:rFonts w:cs="Times New Roman"/>
          <w:szCs w:val="24"/>
        </w:rPr>
        <w:t>analyte</w:t>
      </w:r>
      <w:proofErr w:type="spellEnd"/>
      <w:r>
        <w:rPr>
          <w:rFonts w:cs="Times New Roman"/>
          <w:szCs w:val="24"/>
        </w:rPr>
        <w:t xml:space="preserve"> concentration in combination with sample preparation means. After identification of methodology, research is a necessity in the determination of any other published techniques for the similar purposes.</w:t>
      </w:r>
    </w:p>
    <w:p w:rsidR="00EC1C4B" w:rsidRDefault="00EC1C4B" w:rsidP="00EC1C4B">
      <w:pPr>
        <w:ind w:firstLine="720"/>
        <w:rPr>
          <w:rFonts w:cs="Times New Roman"/>
          <w:szCs w:val="24"/>
        </w:rPr>
      </w:pPr>
      <w:r>
        <w:rPr>
          <w:rFonts w:cs="Times New Roman"/>
          <w:szCs w:val="24"/>
        </w:rPr>
        <w:t xml:space="preserve">The second step involves the choice of analytes. A consideration is given to whether the methods adopts any STA general unknown and the methods for targeted analysis. The STA technique adopts as many analytes as can be relevant to the study and subsets of the analytes are adopted to form a systematic method development to include a variety and a wide range of physicochemical properties. Then follows the second step; the choice of an appropriate sample matrix. This choice is highly dependent on the legal situation to be addressed and a definition of the purpose of the method picked. Some national government restricts the choice of matrices to a particular or a subset of codes and policies </w:t>
      </w:r>
      <w:sdt>
        <w:sdtPr>
          <w:rPr>
            <w:rFonts w:cs="Times New Roman"/>
            <w:szCs w:val="24"/>
          </w:rPr>
          <w:id w:val="418374461"/>
          <w:citation/>
        </w:sdtPr>
        <w:sdtContent>
          <w:r>
            <w:rPr>
              <w:rFonts w:cs="Times New Roman"/>
              <w:szCs w:val="24"/>
            </w:rPr>
            <w:fldChar w:fldCharType="begin"/>
          </w:r>
          <w:r>
            <w:rPr>
              <w:rFonts w:cs="Times New Roman"/>
              <w:szCs w:val="24"/>
            </w:rPr>
            <w:instrText xml:space="preserve"> CITATION Pet17 \l 1033 </w:instrText>
          </w:r>
          <w:r>
            <w:rPr>
              <w:rFonts w:cs="Times New Roman"/>
              <w:szCs w:val="24"/>
            </w:rPr>
            <w:fldChar w:fldCharType="separate"/>
          </w:r>
          <w:r w:rsidRPr="007C0C5A">
            <w:rPr>
              <w:rFonts w:cs="Times New Roman"/>
              <w:noProof/>
              <w:szCs w:val="24"/>
            </w:rPr>
            <w:t>(Peters, Wissenbach, Busardo, Marchei, &amp; Pichini, 2017)</w:t>
          </w:r>
          <w:r>
            <w:rPr>
              <w:rFonts w:cs="Times New Roman"/>
              <w:szCs w:val="24"/>
            </w:rPr>
            <w:fldChar w:fldCharType="end"/>
          </w:r>
        </w:sdtContent>
      </w:sdt>
      <w:r>
        <w:rPr>
          <w:rFonts w:cs="Times New Roman"/>
          <w:szCs w:val="24"/>
        </w:rPr>
        <w:t xml:space="preserve">. In situations where neither the law nor any other substance limits, the developer has the option for the best matrix to use, in situations where it is available. The choice of the separation system is the next fundamental step. In scenarios with clearly defined sample matrices and analytes, a chromatographic system to be adopted has to demonstrate highly efficient separation of the targeted analytes, and the corresponding matrix. </w:t>
      </w:r>
    </w:p>
    <w:p w:rsidR="00EC1C4B" w:rsidRDefault="00EC1C4B" w:rsidP="00EC1C4B">
      <w:pPr>
        <w:ind w:firstLine="720"/>
        <w:rPr>
          <w:rFonts w:cs="Times New Roman"/>
          <w:szCs w:val="24"/>
        </w:rPr>
      </w:pPr>
      <w:r>
        <w:rPr>
          <w:rFonts w:cs="Times New Roman"/>
          <w:szCs w:val="24"/>
        </w:rPr>
        <w:t xml:space="preserve">The forensic toxicologist now has to adapt a sample preparation approach. The improvements of separation techniques have not evolved to facilitate direct injection into the chromatographic apparatus. The sample treatment is a necessity to obtain the prerequisite </w:t>
      </w:r>
      <w:r>
        <w:rPr>
          <w:rFonts w:cs="Times New Roman"/>
          <w:szCs w:val="24"/>
        </w:rPr>
        <w:lastRenderedPageBreak/>
        <w:t xml:space="preserve">chromatographic separation is a significant consideration. The internal standard should be identified and specified. The standards adopted will improve accuracy and precision by compensating for variability of pre-analytical and analytical steps. There is a necessity to conform the internal standards to be similar to those of the </w:t>
      </w:r>
      <w:proofErr w:type="spellStart"/>
      <w:r>
        <w:rPr>
          <w:rFonts w:cs="Times New Roman"/>
          <w:szCs w:val="24"/>
        </w:rPr>
        <w:t>analyte</w:t>
      </w:r>
      <w:proofErr w:type="spellEnd"/>
      <w:r>
        <w:rPr>
          <w:rFonts w:cs="Times New Roman"/>
          <w:szCs w:val="24"/>
        </w:rPr>
        <w:t xml:space="preserve">. Then a choice of a detection system is applied. The final step involves optimization. </w:t>
      </w:r>
    </w:p>
    <w:p w:rsidR="00615601" w:rsidRPr="00936457" w:rsidRDefault="000F112F" w:rsidP="00E8418E">
      <w:pPr>
        <w:ind w:firstLine="720"/>
        <w:rPr>
          <w:rFonts w:cs="Times New Roman"/>
          <w:szCs w:val="24"/>
        </w:rPr>
      </w:pPr>
      <w:r w:rsidRPr="00936457">
        <w:rPr>
          <w:rFonts w:cs="Times New Roman"/>
          <w:szCs w:val="24"/>
        </w:rPr>
        <w:t>Hydrogen sulfide is highly toxic and produced either naturally from putrefaction o</w:t>
      </w:r>
      <w:r w:rsidR="00A807EC" w:rsidRPr="00936457">
        <w:rPr>
          <w:rFonts w:cs="Times New Roman"/>
          <w:szCs w:val="24"/>
        </w:rPr>
        <w:t xml:space="preserve">f </w:t>
      </w:r>
      <w:proofErr w:type="gramStart"/>
      <w:r w:rsidR="00A807EC" w:rsidRPr="00936457">
        <w:rPr>
          <w:rFonts w:cs="Times New Roman"/>
          <w:szCs w:val="24"/>
        </w:rPr>
        <w:t>organic</w:t>
      </w:r>
      <w:proofErr w:type="gramEnd"/>
      <w:r w:rsidR="00A807EC" w:rsidRPr="00936457">
        <w:rPr>
          <w:rFonts w:cs="Times New Roman"/>
          <w:szCs w:val="24"/>
        </w:rPr>
        <w:t xml:space="preserve"> substances or as a secondary </w:t>
      </w:r>
      <w:r w:rsidRPr="00936457">
        <w:rPr>
          <w:rFonts w:cs="Times New Roman"/>
          <w:szCs w:val="24"/>
        </w:rPr>
        <w:t xml:space="preserve">product of industrial </w:t>
      </w:r>
      <w:r w:rsidR="00A807EC" w:rsidRPr="00936457">
        <w:rPr>
          <w:rFonts w:cs="Times New Roman"/>
          <w:szCs w:val="24"/>
        </w:rPr>
        <w:t>operations</w:t>
      </w:r>
      <w:r w:rsidRPr="00936457">
        <w:rPr>
          <w:rFonts w:cs="Times New Roman"/>
          <w:szCs w:val="24"/>
        </w:rPr>
        <w:t xml:space="preserve">. </w:t>
      </w:r>
      <w:r w:rsidR="00A807EC" w:rsidRPr="00936457">
        <w:rPr>
          <w:rFonts w:cs="Times New Roman"/>
          <w:szCs w:val="24"/>
        </w:rPr>
        <w:t xml:space="preserve">It </w:t>
      </w:r>
      <w:r w:rsidRPr="00936457">
        <w:rPr>
          <w:rFonts w:cs="Times New Roman"/>
          <w:szCs w:val="24"/>
        </w:rPr>
        <w:t xml:space="preserve">is used in to moderate a variety of psychological responses. </w:t>
      </w:r>
      <w:r w:rsidR="008D5BA2" w:rsidRPr="00936457">
        <w:rPr>
          <w:rFonts w:cs="Times New Roman"/>
          <w:szCs w:val="24"/>
        </w:rPr>
        <w:t xml:space="preserve">Oxidation </w:t>
      </w:r>
      <w:r w:rsidR="00A807EC" w:rsidRPr="00936457">
        <w:rPr>
          <w:rFonts w:cs="Times New Roman"/>
          <w:szCs w:val="24"/>
        </w:rPr>
        <w:t xml:space="preserve">serves as </w:t>
      </w:r>
      <w:r w:rsidR="008D5BA2" w:rsidRPr="00936457">
        <w:rPr>
          <w:rFonts w:cs="Times New Roman"/>
          <w:szCs w:val="24"/>
        </w:rPr>
        <w:t>the prim</w:t>
      </w:r>
      <w:r w:rsidR="00A807EC" w:rsidRPr="00936457">
        <w:rPr>
          <w:rFonts w:cs="Times New Roman"/>
          <w:szCs w:val="24"/>
        </w:rPr>
        <w:t>e</w:t>
      </w:r>
      <w:r w:rsidR="008D5BA2" w:rsidRPr="00936457">
        <w:rPr>
          <w:rFonts w:cs="Times New Roman"/>
          <w:szCs w:val="24"/>
        </w:rPr>
        <w:t xml:space="preserve"> metabolic </w:t>
      </w:r>
      <w:r w:rsidR="00A807EC" w:rsidRPr="00936457">
        <w:rPr>
          <w:rFonts w:cs="Times New Roman"/>
          <w:szCs w:val="24"/>
        </w:rPr>
        <w:t>tract</w:t>
      </w:r>
      <w:r w:rsidR="008D5BA2" w:rsidRPr="00936457">
        <w:rPr>
          <w:rFonts w:cs="Times New Roman"/>
          <w:szCs w:val="24"/>
        </w:rPr>
        <w:t xml:space="preserve"> for the gas, which is excreted </w:t>
      </w:r>
      <w:r w:rsidR="00A807EC" w:rsidRPr="00936457">
        <w:rPr>
          <w:rFonts w:cs="Times New Roman"/>
          <w:szCs w:val="24"/>
        </w:rPr>
        <w:t>through urination</w:t>
      </w:r>
      <w:r w:rsidR="008D5BA2" w:rsidRPr="00936457">
        <w:rPr>
          <w:rFonts w:cs="Times New Roman"/>
          <w:szCs w:val="24"/>
        </w:rPr>
        <w:t xml:space="preserve">. </w:t>
      </w:r>
      <w:r w:rsidRPr="00936457">
        <w:rPr>
          <w:rFonts w:cs="Times New Roman"/>
          <w:szCs w:val="24"/>
        </w:rPr>
        <w:t>At exposure of 30 ppm, the odor of the gas is detected, but a higher rate of 150 ppm may paralyze the olfactory nerve. Exposure levels of 200 ppm leads to pulmonary and eye irritation, coma and cardio-pulmonary arrests occur at exposure levels of 700 ppm. Levels above 500 ppm for a few hours can be fatal, while above 1000 ppm, for a few minutes inhibits brain respiratory cente</w:t>
      </w:r>
      <w:r w:rsidR="001D1CB5" w:rsidRPr="00936457">
        <w:rPr>
          <w:rFonts w:cs="Times New Roman"/>
          <w:szCs w:val="24"/>
        </w:rPr>
        <w:t>r</w:t>
      </w:r>
      <w:r w:rsidRPr="00936457">
        <w:rPr>
          <w:rFonts w:cs="Times New Roman"/>
          <w:szCs w:val="24"/>
        </w:rPr>
        <w:t xml:space="preserve">s leading to rapid unconsciousness and death. </w:t>
      </w:r>
      <w:r w:rsidR="001D1CB5" w:rsidRPr="00936457">
        <w:rPr>
          <w:rFonts w:cs="Times New Roman"/>
          <w:szCs w:val="24"/>
        </w:rPr>
        <w:t xml:space="preserve">In smaller concentration, fatalities arise from pulmonary edema and congestion. Six men </w:t>
      </w:r>
      <w:r w:rsidR="00A807EC" w:rsidRPr="00936457">
        <w:rPr>
          <w:rFonts w:cs="Times New Roman"/>
          <w:szCs w:val="24"/>
        </w:rPr>
        <w:t xml:space="preserve">died in quick succession in their attempt </w:t>
      </w:r>
      <w:r w:rsidR="001D1CB5" w:rsidRPr="00936457">
        <w:rPr>
          <w:rFonts w:cs="Times New Roman"/>
          <w:szCs w:val="24"/>
        </w:rPr>
        <w:t xml:space="preserve">to unblock a wastewater cistern after exposure to hydrogen sulfide </w:t>
      </w:r>
      <w:sdt>
        <w:sdtPr>
          <w:rPr>
            <w:rFonts w:cs="Times New Roman"/>
            <w:szCs w:val="24"/>
          </w:rPr>
          <w:id w:val="-877473477"/>
          <w:citation/>
        </w:sdtPr>
        <w:sdtContent>
          <w:r w:rsidR="001D1CB5" w:rsidRPr="00936457">
            <w:rPr>
              <w:rFonts w:cs="Times New Roman"/>
              <w:szCs w:val="24"/>
            </w:rPr>
            <w:fldChar w:fldCharType="begin"/>
          </w:r>
          <w:r w:rsidR="001D1CB5" w:rsidRPr="00936457">
            <w:rPr>
              <w:rFonts w:cs="Times New Roman"/>
              <w:szCs w:val="24"/>
            </w:rPr>
            <w:instrText xml:space="preserve"> CITATION Bar16 \l 1033 </w:instrText>
          </w:r>
          <w:r w:rsidR="001D1CB5" w:rsidRPr="00936457">
            <w:rPr>
              <w:rFonts w:cs="Times New Roman"/>
              <w:szCs w:val="24"/>
            </w:rPr>
            <w:fldChar w:fldCharType="separate"/>
          </w:r>
          <w:r w:rsidR="001D1CB5" w:rsidRPr="00936457">
            <w:rPr>
              <w:rFonts w:cs="Times New Roman"/>
              <w:noProof/>
              <w:szCs w:val="24"/>
            </w:rPr>
            <w:t>(Barbera, Montana, Arbouche, &amp; Romano, 2016)</w:t>
          </w:r>
          <w:r w:rsidR="001D1CB5" w:rsidRPr="00936457">
            <w:rPr>
              <w:rFonts w:cs="Times New Roman"/>
              <w:szCs w:val="24"/>
            </w:rPr>
            <w:fldChar w:fldCharType="end"/>
          </w:r>
        </w:sdtContent>
      </w:sdt>
      <w:r w:rsidR="001D1CB5" w:rsidRPr="00936457">
        <w:rPr>
          <w:rFonts w:cs="Times New Roman"/>
          <w:szCs w:val="24"/>
        </w:rPr>
        <w:t>.</w:t>
      </w:r>
    </w:p>
    <w:p w:rsidR="001D1CB5" w:rsidRPr="00936457" w:rsidRDefault="001D1CB5" w:rsidP="00E8418E">
      <w:pPr>
        <w:ind w:firstLine="720"/>
        <w:rPr>
          <w:rFonts w:cs="Times New Roman"/>
          <w:szCs w:val="24"/>
        </w:rPr>
      </w:pPr>
      <w:r w:rsidRPr="00936457">
        <w:rPr>
          <w:rFonts w:cs="Times New Roman"/>
          <w:szCs w:val="24"/>
        </w:rPr>
        <w:t xml:space="preserve">Of the six, the femoral blood samples indicated presence of hydrogen sulfide with concentrations ranging from 8.7 to 28.6 mg/L. Sections of the esophagus, tracheal mucus, stomach, and the outer surfaces of the liver revealed </w:t>
      </w:r>
      <w:r w:rsidR="00A807EC" w:rsidRPr="00936457">
        <w:rPr>
          <w:rFonts w:cs="Times New Roman"/>
          <w:szCs w:val="24"/>
        </w:rPr>
        <w:t xml:space="preserve">a </w:t>
      </w:r>
      <w:r w:rsidRPr="00936457">
        <w:rPr>
          <w:rFonts w:cs="Times New Roman"/>
          <w:szCs w:val="24"/>
        </w:rPr>
        <w:t>gree</w:t>
      </w:r>
      <w:r w:rsidR="00A807EC" w:rsidRPr="00936457">
        <w:rPr>
          <w:rFonts w:cs="Times New Roman"/>
          <w:szCs w:val="24"/>
        </w:rPr>
        <w:t>n-like</w:t>
      </w:r>
      <w:r w:rsidRPr="00936457">
        <w:rPr>
          <w:rFonts w:cs="Times New Roman"/>
          <w:szCs w:val="24"/>
        </w:rPr>
        <w:t xml:space="preserve"> sludge </w:t>
      </w:r>
      <w:r w:rsidR="00A807EC" w:rsidRPr="00936457">
        <w:rPr>
          <w:rFonts w:cs="Times New Roman"/>
          <w:szCs w:val="24"/>
        </w:rPr>
        <w:t>residue</w:t>
      </w:r>
      <w:r w:rsidRPr="00936457">
        <w:rPr>
          <w:rFonts w:cs="Times New Roman"/>
          <w:szCs w:val="24"/>
        </w:rPr>
        <w:t xml:space="preserve"> </w:t>
      </w:r>
      <w:r w:rsidR="00A807EC" w:rsidRPr="00936457">
        <w:rPr>
          <w:rFonts w:cs="Times New Roman"/>
          <w:szCs w:val="24"/>
        </w:rPr>
        <w:t xml:space="preserve">spanning through the </w:t>
      </w:r>
      <w:r w:rsidRPr="00936457">
        <w:rPr>
          <w:rFonts w:cs="Times New Roman"/>
          <w:szCs w:val="24"/>
        </w:rPr>
        <w:t xml:space="preserve">interior wall. Few abrasions were observed on the body, and lungs were </w:t>
      </w:r>
      <w:r w:rsidR="00A807EC" w:rsidRPr="00936457">
        <w:rPr>
          <w:rFonts w:cs="Times New Roman"/>
          <w:szCs w:val="24"/>
        </w:rPr>
        <w:t xml:space="preserve">heavy, </w:t>
      </w:r>
      <w:r w:rsidRPr="00936457">
        <w:rPr>
          <w:rFonts w:cs="Times New Roman"/>
          <w:szCs w:val="24"/>
        </w:rPr>
        <w:t xml:space="preserve">over-distended and </w:t>
      </w:r>
      <w:r w:rsidR="00A807EC" w:rsidRPr="00936457">
        <w:rPr>
          <w:rFonts w:cs="Times New Roman"/>
          <w:szCs w:val="24"/>
        </w:rPr>
        <w:t>water-logged</w:t>
      </w:r>
      <w:r w:rsidRPr="00936457">
        <w:rPr>
          <w:rFonts w:cs="Times New Roman"/>
          <w:szCs w:val="24"/>
        </w:rPr>
        <w:t xml:space="preserve">. </w:t>
      </w:r>
      <w:r w:rsidR="003838E7" w:rsidRPr="00936457">
        <w:rPr>
          <w:rFonts w:cs="Times New Roman"/>
          <w:szCs w:val="24"/>
        </w:rPr>
        <w:t xml:space="preserve">The forensic report also details collapse </w:t>
      </w:r>
      <w:r w:rsidR="00A807EC" w:rsidRPr="00936457">
        <w:rPr>
          <w:rFonts w:cs="Times New Roman"/>
          <w:szCs w:val="24"/>
        </w:rPr>
        <w:t xml:space="preserve">of the lung </w:t>
      </w:r>
      <w:r w:rsidR="003838E7" w:rsidRPr="00936457">
        <w:rPr>
          <w:rFonts w:cs="Times New Roman"/>
          <w:szCs w:val="24"/>
        </w:rPr>
        <w:t xml:space="preserve">and </w:t>
      </w:r>
      <w:r w:rsidR="00A807EC" w:rsidRPr="00936457">
        <w:rPr>
          <w:rFonts w:cs="Times New Roman"/>
          <w:szCs w:val="24"/>
        </w:rPr>
        <w:t>paralysis of respiratory functions</w:t>
      </w:r>
      <w:r w:rsidR="003838E7" w:rsidRPr="00936457">
        <w:rPr>
          <w:rFonts w:cs="Times New Roman"/>
          <w:szCs w:val="24"/>
        </w:rPr>
        <w:t xml:space="preserve">, a disagreeable odor, pulmonary edema, and a green-like discoloration of viscera. </w:t>
      </w:r>
      <w:r w:rsidRPr="00936457">
        <w:rPr>
          <w:rFonts w:cs="Times New Roman"/>
          <w:szCs w:val="24"/>
        </w:rPr>
        <w:t xml:space="preserve">The forensic report also observed </w:t>
      </w:r>
      <w:r w:rsidR="00A807EC" w:rsidRPr="00936457">
        <w:rPr>
          <w:rFonts w:cs="Times New Roman"/>
          <w:szCs w:val="24"/>
        </w:rPr>
        <w:t xml:space="preserve">expansion </w:t>
      </w:r>
      <w:r w:rsidRPr="00936457">
        <w:rPr>
          <w:rFonts w:cs="Times New Roman"/>
          <w:szCs w:val="24"/>
        </w:rPr>
        <w:t xml:space="preserve">of the alveolar space with </w:t>
      </w:r>
      <w:r w:rsidR="00A807EC" w:rsidRPr="00936457">
        <w:rPr>
          <w:rFonts w:cs="Times New Roman"/>
          <w:szCs w:val="24"/>
        </w:rPr>
        <w:t xml:space="preserve">extra </w:t>
      </w:r>
      <w:r w:rsidRPr="00936457">
        <w:rPr>
          <w:rFonts w:cs="Times New Roman"/>
          <w:szCs w:val="24"/>
        </w:rPr>
        <w:lastRenderedPageBreak/>
        <w:t xml:space="preserve">compression </w:t>
      </w:r>
      <w:r w:rsidR="00A807EC" w:rsidRPr="00936457">
        <w:rPr>
          <w:rFonts w:cs="Times New Roman"/>
          <w:szCs w:val="24"/>
        </w:rPr>
        <w:t>to</w:t>
      </w:r>
      <w:r w:rsidRPr="00936457">
        <w:rPr>
          <w:rFonts w:cs="Times New Roman"/>
          <w:szCs w:val="24"/>
        </w:rPr>
        <w:t xml:space="preserve"> septal capillaries </w:t>
      </w:r>
      <w:sdt>
        <w:sdtPr>
          <w:rPr>
            <w:rFonts w:cs="Times New Roman"/>
            <w:szCs w:val="24"/>
          </w:rPr>
          <w:id w:val="1145784218"/>
          <w:citation/>
        </w:sdtPr>
        <w:sdtContent>
          <w:r w:rsidRPr="00936457">
            <w:rPr>
              <w:rFonts w:cs="Times New Roman"/>
              <w:szCs w:val="24"/>
            </w:rPr>
            <w:fldChar w:fldCharType="begin"/>
          </w:r>
          <w:r w:rsidRPr="00936457">
            <w:rPr>
              <w:rFonts w:cs="Times New Roman"/>
              <w:szCs w:val="24"/>
            </w:rPr>
            <w:instrText xml:space="preserve"> CITATION Bar16 \l 1033 </w:instrText>
          </w:r>
          <w:r w:rsidRPr="00936457">
            <w:rPr>
              <w:rFonts w:cs="Times New Roman"/>
              <w:szCs w:val="24"/>
            </w:rPr>
            <w:fldChar w:fldCharType="separate"/>
          </w:r>
          <w:r w:rsidRPr="00936457">
            <w:rPr>
              <w:rFonts w:cs="Times New Roman"/>
              <w:noProof/>
              <w:szCs w:val="24"/>
            </w:rPr>
            <w:t>(Barbera, Montana, Arbouche, &amp; Romano, 2016)</w:t>
          </w:r>
          <w:r w:rsidRPr="00936457">
            <w:rPr>
              <w:rFonts w:cs="Times New Roman"/>
              <w:szCs w:val="24"/>
            </w:rPr>
            <w:fldChar w:fldCharType="end"/>
          </w:r>
        </w:sdtContent>
      </w:sdt>
      <w:r w:rsidRPr="00936457">
        <w:rPr>
          <w:rFonts w:cs="Times New Roman"/>
          <w:szCs w:val="24"/>
        </w:rPr>
        <w:t xml:space="preserve">. </w:t>
      </w:r>
      <w:r w:rsidR="008D5BA2" w:rsidRPr="00936457">
        <w:rPr>
          <w:rFonts w:cs="Times New Roman"/>
          <w:szCs w:val="24"/>
        </w:rPr>
        <w:t xml:space="preserve">The </w:t>
      </w:r>
      <w:r w:rsidR="00A807EC" w:rsidRPr="00936457">
        <w:rPr>
          <w:rFonts w:cs="Times New Roman"/>
          <w:szCs w:val="24"/>
        </w:rPr>
        <w:t xml:space="preserve">forensic </w:t>
      </w:r>
      <w:r w:rsidR="00EE5B67" w:rsidRPr="00936457">
        <w:rPr>
          <w:rFonts w:cs="Times New Roman"/>
          <w:szCs w:val="24"/>
        </w:rPr>
        <w:t xml:space="preserve">toxicologists assessed the </w:t>
      </w:r>
      <w:r w:rsidR="008D5BA2" w:rsidRPr="00936457">
        <w:rPr>
          <w:rFonts w:cs="Times New Roman"/>
          <w:szCs w:val="24"/>
        </w:rPr>
        <w:t xml:space="preserve">cause of death </w:t>
      </w:r>
      <w:r w:rsidR="00EE5B67" w:rsidRPr="00936457">
        <w:rPr>
          <w:rFonts w:cs="Times New Roman"/>
          <w:szCs w:val="24"/>
        </w:rPr>
        <w:t xml:space="preserve">as </w:t>
      </w:r>
      <w:r w:rsidR="008D5BA2" w:rsidRPr="00936457">
        <w:rPr>
          <w:rFonts w:cs="Times New Roman"/>
          <w:szCs w:val="24"/>
        </w:rPr>
        <w:t xml:space="preserve">acute suppression of the </w:t>
      </w:r>
      <w:r w:rsidR="00EE5B67" w:rsidRPr="00936457">
        <w:rPr>
          <w:rFonts w:cs="Times New Roman"/>
          <w:szCs w:val="24"/>
        </w:rPr>
        <w:t xml:space="preserve">CNS </w:t>
      </w:r>
      <w:r w:rsidR="008D5BA2" w:rsidRPr="00936457">
        <w:rPr>
          <w:rFonts w:cs="Times New Roman"/>
          <w:szCs w:val="24"/>
        </w:rPr>
        <w:t xml:space="preserve">and respiration </w:t>
      </w:r>
      <w:r w:rsidR="00EE5B67" w:rsidRPr="00936457">
        <w:rPr>
          <w:rFonts w:cs="Times New Roman"/>
          <w:szCs w:val="24"/>
        </w:rPr>
        <w:t xml:space="preserve">as a consequence of </w:t>
      </w:r>
      <w:r w:rsidR="008D5BA2" w:rsidRPr="00936457">
        <w:rPr>
          <w:rFonts w:cs="Times New Roman"/>
          <w:szCs w:val="24"/>
        </w:rPr>
        <w:t xml:space="preserve">hydrogen sulfide </w:t>
      </w:r>
      <w:r w:rsidR="00EE5B67" w:rsidRPr="00936457">
        <w:rPr>
          <w:rFonts w:cs="Times New Roman"/>
          <w:szCs w:val="24"/>
        </w:rPr>
        <w:t xml:space="preserve">poisoning. The resulting intoxication was </w:t>
      </w:r>
      <w:r w:rsidR="008D5BA2" w:rsidRPr="00936457">
        <w:rPr>
          <w:rFonts w:cs="Times New Roman"/>
          <w:szCs w:val="24"/>
        </w:rPr>
        <w:t>generated by the reaction between acidic gastric juice</w:t>
      </w:r>
      <w:r w:rsidR="00EE5B67" w:rsidRPr="00936457">
        <w:rPr>
          <w:rFonts w:cs="Times New Roman"/>
          <w:szCs w:val="24"/>
        </w:rPr>
        <w:t xml:space="preserve"> and lime sulfide</w:t>
      </w:r>
      <w:r w:rsidR="008D5BA2" w:rsidRPr="00936457">
        <w:rPr>
          <w:rFonts w:cs="Times New Roman"/>
          <w:szCs w:val="24"/>
        </w:rPr>
        <w:t xml:space="preserve">. </w:t>
      </w:r>
      <w:r w:rsidR="00EE5B67" w:rsidRPr="00936457">
        <w:rPr>
          <w:rFonts w:cs="Times New Roman"/>
          <w:szCs w:val="24"/>
        </w:rPr>
        <w:t>Of the six cases, five fatalities were the result of</w:t>
      </w:r>
      <w:r w:rsidR="008D5BA2" w:rsidRPr="00936457">
        <w:rPr>
          <w:rFonts w:cs="Times New Roman"/>
          <w:szCs w:val="24"/>
        </w:rPr>
        <w:t xml:space="preserve"> hydrogen sulfide aspiration, while </w:t>
      </w:r>
      <w:r w:rsidR="00EE5B67" w:rsidRPr="00936457">
        <w:rPr>
          <w:rFonts w:cs="Times New Roman"/>
          <w:szCs w:val="24"/>
        </w:rPr>
        <w:t xml:space="preserve">sixth fatality </w:t>
      </w:r>
      <w:r w:rsidR="008D5BA2" w:rsidRPr="00936457">
        <w:rPr>
          <w:rFonts w:cs="Times New Roman"/>
          <w:szCs w:val="24"/>
        </w:rPr>
        <w:t xml:space="preserve">was </w:t>
      </w:r>
      <w:r w:rsidR="00EE5B67" w:rsidRPr="00936457">
        <w:rPr>
          <w:rFonts w:cs="Times New Roman"/>
          <w:szCs w:val="24"/>
        </w:rPr>
        <w:t xml:space="preserve">showed symptoms of </w:t>
      </w:r>
      <w:r w:rsidR="008D5BA2" w:rsidRPr="00936457">
        <w:rPr>
          <w:rFonts w:cs="Times New Roman"/>
          <w:szCs w:val="24"/>
        </w:rPr>
        <w:t xml:space="preserve">drowning, </w:t>
      </w:r>
      <w:r w:rsidR="00EE5B67" w:rsidRPr="00936457">
        <w:rPr>
          <w:rFonts w:cs="Times New Roman"/>
          <w:szCs w:val="24"/>
        </w:rPr>
        <w:t xml:space="preserve">brought about by the resulting immediate unconsciousness after concentrated exposure. </w:t>
      </w:r>
    </w:p>
    <w:p w:rsidR="00EC5D22" w:rsidRPr="00936457" w:rsidRDefault="00C13868" w:rsidP="00E8418E">
      <w:pPr>
        <w:ind w:firstLine="720"/>
        <w:rPr>
          <w:rFonts w:cs="Times New Roman"/>
          <w:szCs w:val="24"/>
        </w:rPr>
      </w:pPr>
      <w:r w:rsidRPr="00936457">
        <w:rPr>
          <w:rFonts w:cs="Times New Roman"/>
          <w:szCs w:val="24"/>
        </w:rPr>
        <w:t>T</w:t>
      </w:r>
      <w:r w:rsidR="00404DDA" w:rsidRPr="00936457">
        <w:rPr>
          <w:rFonts w:cs="Times New Roman"/>
          <w:szCs w:val="24"/>
        </w:rPr>
        <w:t>he task of t</w:t>
      </w:r>
      <w:r w:rsidRPr="00936457">
        <w:rPr>
          <w:rFonts w:cs="Times New Roman"/>
          <w:szCs w:val="24"/>
        </w:rPr>
        <w:t xml:space="preserve">oxicological analysis </w:t>
      </w:r>
      <w:r w:rsidR="00404DDA" w:rsidRPr="00936457">
        <w:rPr>
          <w:rFonts w:cs="Times New Roman"/>
          <w:szCs w:val="24"/>
        </w:rPr>
        <w:t xml:space="preserve">is challenging and so is the interpretation, more so if a body is poorly preserved, as is the case of </w:t>
      </w:r>
      <w:proofErr w:type="gramStart"/>
      <w:r w:rsidR="00404DDA" w:rsidRPr="00936457">
        <w:rPr>
          <w:rFonts w:cs="Times New Roman"/>
          <w:szCs w:val="24"/>
        </w:rPr>
        <w:t>a</w:t>
      </w:r>
      <w:proofErr w:type="gramEnd"/>
      <w:r w:rsidR="00404DDA" w:rsidRPr="00936457">
        <w:rPr>
          <w:rFonts w:cs="Times New Roman"/>
          <w:szCs w:val="24"/>
        </w:rPr>
        <w:t xml:space="preserve"> exhumed cadaver buried for a year. The major challenge in exhumation cases for bodies that have been buried for long is the difficulty in finding biological samples to conduct the toxicology examinations. This case limits the toxicologists to soft tissue or alternative matrices, which are complex in nature thus also difficult to analyze, as opposed to biological fluids. The decay process increases the problem of quantification and interpretation. </w:t>
      </w:r>
      <w:proofErr w:type="spellStart"/>
      <w:r w:rsidR="00576B44" w:rsidRPr="00936457">
        <w:rPr>
          <w:rFonts w:cs="Times New Roman"/>
          <w:szCs w:val="24"/>
        </w:rPr>
        <w:t>Cippitelli</w:t>
      </w:r>
      <w:proofErr w:type="spellEnd"/>
      <w:r w:rsidR="00576B44" w:rsidRPr="00936457">
        <w:rPr>
          <w:rFonts w:cs="Times New Roman"/>
          <w:szCs w:val="24"/>
        </w:rPr>
        <w:t xml:space="preserve"> and team present findings of toxicology reports of a deceased 45 year old cadaver after exhumation</w:t>
      </w:r>
      <w:r w:rsidR="00FC60A2" w:rsidRPr="00936457">
        <w:rPr>
          <w:rFonts w:cs="Times New Roman"/>
          <w:szCs w:val="24"/>
        </w:rPr>
        <w:t xml:space="preserve"> to determine the cause of death </w:t>
      </w:r>
      <w:sdt>
        <w:sdtPr>
          <w:rPr>
            <w:rFonts w:cs="Times New Roman"/>
            <w:szCs w:val="24"/>
          </w:rPr>
          <w:id w:val="-729920885"/>
          <w:citation/>
        </w:sdtPr>
        <w:sdtContent>
          <w:r w:rsidR="00FC60A2" w:rsidRPr="00936457">
            <w:rPr>
              <w:rFonts w:cs="Times New Roman"/>
              <w:szCs w:val="24"/>
            </w:rPr>
            <w:fldChar w:fldCharType="begin"/>
          </w:r>
          <w:r w:rsidR="00FC60A2" w:rsidRPr="00936457">
            <w:rPr>
              <w:rFonts w:cs="Times New Roman"/>
              <w:szCs w:val="24"/>
            </w:rPr>
            <w:instrText xml:space="preserve"> CITATION Cip18 \l 1033 </w:instrText>
          </w:r>
          <w:r w:rsidR="00FC60A2" w:rsidRPr="00936457">
            <w:rPr>
              <w:rFonts w:cs="Times New Roman"/>
              <w:szCs w:val="24"/>
            </w:rPr>
            <w:fldChar w:fldCharType="separate"/>
          </w:r>
          <w:r w:rsidR="00FC60A2" w:rsidRPr="00936457">
            <w:rPr>
              <w:rFonts w:cs="Times New Roman"/>
              <w:noProof/>
              <w:szCs w:val="24"/>
            </w:rPr>
            <w:t>(Cippitelli, et al., 2018)</w:t>
          </w:r>
          <w:r w:rsidR="00FC60A2" w:rsidRPr="00936457">
            <w:rPr>
              <w:rFonts w:cs="Times New Roman"/>
              <w:szCs w:val="24"/>
            </w:rPr>
            <w:fldChar w:fldCharType="end"/>
          </w:r>
        </w:sdtContent>
      </w:sdt>
      <w:r w:rsidR="00576B44" w:rsidRPr="00936457">
        <w:rPr>
          <w:rFonts w:cs="Times New Roman"/>
          <w:szCs w:val="24"/>
        </w:rPr>
        <w:t xml:space="preserve">. </w:t>
      </w:r>
      <w:r w:rsidR="00FC60A2" w:rsidRPr="00936457">
        <w:rPr>
          <w:rFonts w:cs="Times New Roman"/>
          <w:szCs w:val="24"/>
        </w:rPr>
        <w:t xml:space="preserve">The primary findings from external examination before burial indicated cardiac arrest with pulmonary edema. The cadaver was moderately preserved with a visible venipuncture mark. Even with the advanced putrefaction rate, the examination of decedent indicated no appreciable alterations, though biological fluids could not be collected. </w:t>
      </w:r>
      <w:r w:rsidR="00132FC3" w:rsidRPr="00936457">
        <w:rPr>
          <w:rFonts w:cs="Times New Roman"/>
          <w:szCs w:val="24"/>
        </w:rPr>
        <w:t>Samples of liver, kidney, teeth and hair were used for toxicology.</w:t>
      </w:r>
    </w:p>
    <w:p w:rsidR="00132FC3" w:rsidRPr="00936457" w:rsidRDefault="00132FC3" w:rsidP="00E8418E">
      <w:pPr>
        <w:ind w:firstLine="720"/>
        <w:rPr>
          <w:rFonts w:cs="Times New Roman"/>
          <w:szCs w:val="24"/>
        </w:rPr>
      </w:pPr>
      <w:r w:rsidRPr="00936457">
        <w:rPr>
          <w:rFonts w:cs="Times New Roman"/>
          <w:szCs w:val="24"/>
        </w:rPr>
        <w:t xml:space="preserve">The samples were subjected to a systematic toxicological analysis to determine presence of any toxins that may have had a role to play in the death of the victim. The sample was subjected to the GC-MS analysis in a two-step process that differed in derivatization of the sample. The second sample was </w:t>
      </w:r>
      <w:proofErr w:type="spellStart"/>
      <w:r w:rsidRPr="00936457">
        <w:rPr>
          <w:rFonts w:cs="Times New Roman"/>
          <w:szCs w:val="24"/>
        </w:rPr>
        <w:t>derivatized</w:t>
      </w:r>
      <w:proofErr w:type="spellEnd"/>
      <w:r w:rsidRPr="00936457">
        <w:rPr>
          <w:rFonts w:cs="Times New Roman"/>
          <w:szCs w:val="24"/>
        </w:rPr>
        <w:t xml:space="preserve"> to allow detection of volatile compounds. 5 grams of </w:t>
      </w:r>
      <w:r w:rsidRPr="00936457">
        <w:rPr>
          <w:rFonts w:cs="Times New Roman"/>
          <w:szCs w:val="24"/>
        </w:rPr>
        <w:lastRenderedPageBreak/>
        <w:t xml:space="preserve">liver and kidney were separately </w:t>
      </w:r>
      <w:proofErr w:type="spellStart"/>
      <w:r w:rsidRPr="00936457">
        <w:rPr>
          <w:rFonts w:cs="Times New Roman"/>
          <w:szCs w:val="24"/>
        </w:rPr>
        <w:t>deproteinized</w:t>
      </w:r>
      <w:proofErr w:type="spellEnd"/>
      <w:r w:rsidRPr="00936457">
        <w:rPr>
          <w:rFonts w:cs="Times New Roman"/>
          <w:szCs w:val="24"/>
        </w:rPr>
        <w:t xml:space="preserve"> and divided into two</w:t>
      </w:r>
      <w:r w:rsidR="0035110C" w:rsidRPr="00936457">
        <w:rPr>
          <w:rFonts w:cs="Times New Roman"/>
          <w:szCs w:val="24"/>
        </w:rPr>
        <w:t xml:space="preserve">, to be subjected into acidic and basic environments, then analyzed using GC-MC before and after derivatization. The STA of the samples indicted the presence of opiates, without further identification of substances with toxicological interest. The next part involved quantifying the amounts of opioids through a variety of matrices in line with validated procedures for liver and kidney in the first sample and hair and teeth for the second sample. All the matrices indicated a presence of morphine and the metabolite of heroin 6-monoacetylmorphine </w:t>
      </w:r>
      <w:sdt>
        <w:sdtPr>
          <w:rPr>
            <w:rFonts w:cs="Times New Roman"/>
            <w:szCs w:val="24"/>
          </w:rPr>
          <w:id w:val="-616058883"/>
          <w:citation/>
        </w:sdtPr>
        <w:sdtContent>
          <w:r w:rsidR="0035110C" w:rsidRPr="00936457">
            <w:rPr>
              <w:rFonts w:cs="Times New Roman"/>
              <w:szCs w:val="24"/>
            </w:rPr>
            <w:fldChar w:fldCharType="begin"/>
          </w:r>
          <w:r w:rsidR="0035110C" w:rsidRPr="00936457">
            <w:rPr>
              <w:rFonts w:cs="Times New Roman"/>
              <w:szCs w:val="24"/>
            </w:rPr>
            <w:instrText xml:space="preserve"> CITATION Cip18 \l 1033 </w:instrText>
          </w:r>
          <w:r w:rsidR="0035110C" w:rsidRPr="00936457">
            <w:rPr>
              <w:rFonts w:cs="Times New Roman"/>
              <w:szCs w:val="24"/>
            </w:rPr>
            <w:fldChar w:fldCharType="separate"/>
          </w:r>
          <w:r w:rsidR="0035110C" w:rsidRPr="00936457">
            <w:rPr>
              <w:rFonts w:cs="Times New Roman"/>
              <w:noProof/>
              <w:szCs w:val="24"/>
            </w:rPr>
            <w:t>(Cippitelli, et al., 2018)</w:t>
          </w:r>
          <w:r w:rsidR="0035110C" w:rsidRPr="00936457">
            <w:rPr>
              <w:rFonts w:cs="Times New Roman"/>
              <w:szCs w:val="24"/>
            </w:rPr>
            <w:fldChar w:fldCharType="end"/>
          </w:r>
        </w:sdtContent>
      </w:sdt>
      <w:r w:rsidR="0035110C" w:rsidRPr="00936457">
        <w:rPr>
          <w:rFonts w:cs="Times New Roman"/>
          <w:szCs w:val="24"/>
        </w:rPr>
        <w:t xml:space="preserve">. The liver sample analysis indicated the presence of codeine. </w:t>
      </w:r>
    </w:p>
    <w:p w:rsidR="0035110C" w:rsidRPr="00936457" w:rsidRDefault="0035110C" w:rsidP="00E8418E">
      <w:pPr>
        <w:ind w:firstLine="720"/>
        <w:rPr>
          <w:rFonts w:cs="Times New Roman"/>
          <w:szCs w:val="24"/>
        </w:rPr>
      </w:pPr>
      <w:r w:rsidRPr="00936457">
        <w:rPr>
          <w:rFonts w:cs="Times New Roman"/>
          <w:szCs w:val="24"/>
        </w:rPr>
        <w:t xml:space="preserve">The lungs, kidneys and liver are more resistant to putrefaction than other tissues </w:t>
      </w:r>
      <w:proofErr w:type="spellStart"/>
      <w:r w:rsidR="005C2120" w:rsidRPr="00936457">
        <w:rPr>
          <w:rFonts w:cs="Times New Roman"/>
          <w:szCs w:val="24"/>
        </w:rPr>
        <w:t>an</w:t>
      </w:r>
      <w:proofErr w:type="spellEnd"/>
      <w:r w:rsidR="005C2120" w:rsidRPr="00936457">
        <w:rPr>
          <w:rFonts w:cs="Times New Roman"/>
          <w:szCs w:val="24"/>
        </w:rPr>
        <w:t xml:space="preserve"> as such their analysis was critical since blood samples were not available. The viability of the finings results from the lack of no appreciable alterations recorded in comparison with the coroner’s report. Furthermore, the fact that the body was buried in a metal-shell coffin reduced the rate of decomposition. The liver contains high concentration of substances and their metabolites. Coupled with the fact that the liver is generally unaffected by post-mortem redistribution, the organ is very useful in critical analysis. The hair and teeth are more durable and very few alterations occur after burial, but the presence of morphine and </w:t>
      </w:r>
      <w:r w:rsidR="00CD110A" w:rsidRPr="00936457">
        <w:rPr>
          <w:rFonts w:cs="Times New Roman"/>
          <w:szCs w:val="24"/>
        </w:rPr>
        <w:t xml:space="preserve">6-monoacetylmorphine indicates a prior consistence use of opiates for a period of not less than 5 months </w:t>
      </w:r>
      <w:sdt>
        <w:sdtPr>
          <w:rPr>
            <w:rFonts w:cs="Times New Roman"/>
            <w:szCs w:val="24"/>
          </w:rPr>
          <w:id w:val="1410355561"/>
          <w:citation/>
        </w:sdtPr>
        <w:sdtContent>
          <w:r w:rsidR="00CD110A" w:rsidRPr="00936457">
            <w:rPr>
              <w:rFonts w:cs="Times New Roman"/>
              <w:szCs w:val="24"/>
            </w:rPr>
            <w:fldChar w:fldCharType="begin"/>
          </w:r>
          <w:r w:rsidR="00CD110A" w:rsidRPr="00936457">
            <w:rPr>
              <w:rFonts w:cs="Times New Roman"/>
              <w:szCs w:val="24"/>
            </w:rPr>
            <w:instrText xml:space="preserve"> CITATION Cip18 \l 1033 </w:instrText>
          </w:r>
          <w:r w:rsidR="00CD110A" w:rsidRPr="00936457">
            <w:rPr>
              <w:rFonts w:cs="Times New Roman"/>
              <w:szCs w:val="24"/>
            </w:rPr>
            <w:fldChar w:fldCharType="separate"/>
          </w:r>
          <w:r w:rsidR="00CD110A" w:rsidRPr="00936457">
            <w:rPr>
              <w:rFonts w:cs="Times New Roman"/>
              <w:noProof/>
              <w:szCs w:val="24"/>
            </w:rPr>
            <w:t>(Cippitelli, et al., 2018)</w:t>
          </w:r>
          <w:r w:rsidR="00CD110A" w:rsidRPr="00936457">
            <w:rPr>
              <w:rFonts w:cs="Times New Roman"/>
              <w:szCs w:val="24"/>
            </w:rPr>
            <w:fldChar w:fldCharType="end"/>
          </w:r>
        </w:sdtContent>
      </w:sdt>
      <w:r w:rsidR="00CD110A" w:rsidRPr="00936457">
        <w:rPr>
          <w:rFonts w:cs="Times New Roman"/>
          <w:szCs w:val="24"/>
        </w:rPr>
        <w:t>. The findings highlight the necessity of adopting different matrices in evaluation, and the capability of toxicology to detect presence of opioids after the body was buried for a year.</w:t>
      </w:r>
    </w:p>
    <w:p w:rsidR="00CD110A" w:rsidRPr="00936457" w:rsidRDefault="005A4BD0" w:rsidP="00E8418E">
      <w:pPr>
        <w:ind w:firstLine="720"/>
        <w:rPr>
          <w:rFonts w:cs="Times New Roman"/>
          <w:szCs w:val="24"/>
        </w:rPr>
      </w:pPr>
      <w:r w:rsidRPr="00936457">
        <w:rPr>
          <w:rFonts w:cs="Times New Roman"/>
          <w:szCs w:val="24"/>
        </w:rPr>
        <w:t xml:space="preserve">The necessity for data and interpretation of it to be accurate is critical in presentation to court, failure of which may results in unjustified legal consequences for the defendant. Therefore, it is critical for the evaluation to be correct and the analytical data to be accurate, both </w:t>
      </w:r>
      <w:r w:rsidRPr="00936457">
        <w:rPr>
          <w:rFonts w:cs="Times New Roman"/>
          <w:szCs w:val="24"/>
        </w:rPr>
        <w:lastRenderedPageBreak/>
        <w:t xml:space="preserve">based on validated methods. This is the argument of Cornelius Hess and team. They highlight the lack of validation for chromatographic mass spectrometric methods in the toxicology processes. The team asserts that conventional validated methods are not reliable and discusses practical considerations for analytical methods </w:t>
      </w:r>
      <w:sdt>
        <w:sdtPr>
          <w:rPr>
            <w:rFonts w:cs="Times New Roman"/>
            <w:szCs w:val="24"/>
          </w:rPr>
          <w:id w:val="-458728784"/>
          <w:citation/>
        </w:sdtPr>
        <w:sdtContent>
          <w:r w:rsidRPr="00936457">
            <w:rPr>
              <w:rFonts w:cs="Times New Roman"/>
              <w:szCs w:val="24"/>
            </w:rPr>
            <w:fldChar w:fldCharType="begin"/>
          </w:r>
          <w:r w:rsidRPr="00936457">
            <w:rPr>
              <w:rFonts w:cs="Times New Roman"/>
              <w:szCs w:val="24"/>
            </w:rPr>
            <w:instrText xml:space="preserve"> CITATION Hes18 \l 1033 </w:instrText>
          </w:r>
          <w:r w:rsidRPr="00936457">
            <w:rPr>
              <w:rFonts w:cs="Times New Roman"/>
              <w:szCs w:val="24"/>
            </w:rPr>
            <w:fldChar w:fldCharType="separate"/>
          </w:r>
          <w:r w:rsidRPr="00936457">
            <w:rPr>
              <w:rFonts w:cs="Times New Roman"/>
              <w:noProof/>
              <w:szCs w:val="24"/>
            </w:rPr>
            <w:t>(Hess, Sydow, Kueting, Kraemer, &amp; Maas, 2018)</w:t>
          </w:r>
          <w:r w:rsidRPr="00936457">
            <w:rPr>
              <w:rFonts w:cs="Times New Roman"/>
              <w:szCs w:val="24"/>
            </w:rPr>
            <w:fldChar w:fldCharType="end"/>
          </w:r>
        </w:sdtContent>
      </w:sdt>
      <w:r w:rsidRPr="00936457">
        <w:rPr>
          <w:rFonts w:cs="Times New Roman"/>
          <w:szCs w:val="24"/>
        </w:rPr>
        <w:t xml:space="preserve">. </w:t>
      </w:r>
    </w:p>
    <w:p w:rsidR="005A4BD0" w:rsidRPr="00936457" w:rsidRDefault="005A4BD0" w:rsidP="00E8418E">
      <w:pPr>
        <w:ind w:firstLine="720"/>
        <w:rPr>
          <w:rFonts w:cs="Times New Roman"/>
          <w:szCs w:val="24"/>
        </w:rPr>
      </w:pPr>
      <w:r w:rsidRPr="00936457">
        <w:rPr>
          <w:rFonts w:cs="Times New Roman"/>
          <w:szCs w:val="24"/>
        </w:rPr>
        <w:t>The toxins relevant to toxicology analysis are alcohol consumption markers GHB and its isomers, C-peptide, human insulin and congener alcohols. Chromatographic methods are also applicable for biochemical parameters measured by immun</w:t>
      </w:r>
      <w:r w:rsidR="00BD6B14" w:rsidRPr="00936457">
        <w:rPr>
          <w:rFonts w:cs="Times New Roman"/>
          <w:szCs w:val="24"/>
        </w:rPr>
        <w:t>o</w:t>
      </w:r>
      <w:r w:rsidRPr="00936457">
        <w:rPr>
          <w:rFonts w:cs="Times New Roman"/>
          <w:szCs w:val="24"/>
        </w:rPr>
        <w:t xml:space="preserve">-chemical methods after death. </w:t>
      </w:r>
      <w:r w:rsidR="00BD6B14" w:rsidRPr="00936457">
        <w:rPr>
          <w:rFonts w:cs="Times New Roman"/>
          <w:szCs w:val="24"/>
        </w:rPr>
        <w:t xml:space="preserve">Conventional measures cannot be adopted for the analytes and usual procedures must be altered to foster reliability and accuracy. Selectivity of experiments is vital, mostly due to the fact that these analytes are present in most samples. Special and befallen validation procedures are critical to ease the challenge presented in the forensic toxicology. The procedures to be adopted for validation can either </w:t>
      </w:r>
      <w:r w:rsidR="009A1631">
        <w:rPr>
          <w:rFonts w:cs="Times New Roman"/>
          <w:szCs w:val="24"/>
        </w:rPr>
        <w:t xml:space="preserve">involve preparing a matrix considered blank </w:t>
      </w:r>
      <w:r w:rsidR="00BD6B14" w:rsidRPr="00936457">
        <w:rPr>
          <w:rFonts w:cs="Times New Roman"/>
          <w:szCs w:val="24"/>
        </w:rPr>
        <w:t xml:space="preserve">(or </w:t>
      </w:r>
      <w:r w:rsidR="009A1631">
        <w:rPr>
          <w:rFonts w:cs="Times New Roman"/>
          <w:szCs w:val="24"/>
        </w:rPr>
        <w:t xml:space="preserve">surrogate matrix), or validate and quantify by use of </w:t>
      </w:r>
      <w:r w:rsidR="00BD6B14" w:rsidRPr="00936457">
        <w:rPr>
          <w:rFonts w:cs="Times New Roman"/>
          <w:szCs w:val="24"/>
        </w:rPr>
        <w:t xml:space="preserve">authentic matrix </w:t>
      </w:r>
      <w:r w:rsidR="009A1631">
        <w:rPr>
          <w:rFonts w:cs="Times New Roman"/>
          <w:szCs w:val="24"/>
        </w:rPr>
        <w:t>which contain</w:t>
      </w:r>
      <w:r w:rsidR="00BD6B14" w:rsidRPr="00936457">
        <w:rPr>
          <w:rFonts w:cs="Times New Roman"/>
          <w:szCs w:val="24"/>
        </w:rPr>
        <w:t xml:space="preserve"> the </w:t>
      </w:r>
      <w:proofErr w:type="spellStart"/>
      <w:r w:rsidR="00BD6B14" w:rsidRPr="00936457">
        <w:rPr>
          <w:rFonts w:cs="Times New Roman"/>
          <w:szCs w:val="24"/>
        </w:rPr>
        <w:t>analyte</w:t>
      </w:r>
      <w:proofErr w:type="spellEnd"/>
      <w:r w:rsidR="00BD6B14" w:rsidRPr="00936457">
        <w:rPr>
          <w:rFonts w:cs="Times New Roman"/>
          <w:szCs w:val="24"/>
        </w:rPr>
        <w:t xml:space="preserve">. </w:t>
      </w:r>
    </w:p>
    <w:p w:rsidR="00BD6B14" w:rsidRPr="00936457" w:rsidRDefault="00BD6B14" w:rsidP="00E8418E">
      <w:pPr>
        <w:ind w:firstLine="720"/>
        <w:rPr>
          <w:rFonts w:cs="Times New Roman"/>
          <w:szCs w:val="24"/>
        </w:rPr>
      </w:pPr>
      <w:r w:rsidRPr="00936457">
        <w:rPr>
          <w:rFonts w:cs="Times New Roman"/>
          <w:szCs w:val="24"/>
        </w:rPr>
        <w:t xml:space="preserve">The FDA prescribes that for analytes </w:t>
      </w:r>
      <w:r w:rsidR="009A1631">
        <w:rPr>
          <w:rFonts w:cs="Times New Roman"/>
          <w:szCs w:val="24"/>
        </w:rPr>
        <w:t>which are identifiable as</w:t>
      </w:r>
      <w:r w:rsidRPr="00936457">
        <w:rPr>
          <w:rFonts w:cs="Times New Roman"/>
          <w:szCs w:val="24"/>
        </w:rPr>
        <w:t xml:space="preserve"> endogenous compounds, the biological matrix applied should be </w:t>
      </w:r>
      <w:r w:rsidR="009A1631">
        <w:rPr>
          <w:rFonts w:cs="Times New Roman"/>
          <w:szCs w:val="24"/>
        </w:rPr>
        <w:t xml:space="preserve">similar to </w:t>
      </w:r>
      <w:r w:rsidRPr="00936457">
        <w:rPr>
          <w:rFonts w:cs="Times New Roman"/>
          <w:szCs w:val="24"/>
        </w:rPr>
        <w:t>study samples, and also free from endogenous analytes. T</w:t>
      </w:r>
      <w:r w:rsidR="009A1631">
        <w:rPr>
          <w:rFonts w:cs="Times New Roman"/>
          <w:szCs w:val="24"/>
        </w:rPr>
        <w:t xml:space="preserve">he validated methods for the matrix should obtain no measures of the </w:t>
      </w:r>
      <w:proofErr w:type="spellStart"/>
      <w:r w:rsidR="009A1631">
        <w:rPr>
          <w:rFonts w:cs="Times New Roman"/>
          <w:szCs w:val="24"/>
        </w:rPr>
        <w:t>analyte</w:t>
      </w:r>
      <w:proofErr w:type="spellEnd"/>
      <w:r w:rsidR="009A1631">
        <w:rPr>
          <w:rFonts w:cs="Times New Roman"/>
          <w:szCs w:val="24"/>
        </w:rPr>
        <w:t>,</w:t>
      </w:r>
      <w:r w:rsidR="000E4FCD" w:rsidRPr="00936457">
        <w:rPr>
          <w:rFonts w:cs="Times New Roman"/>
          <w:szCs w:val="24"/>
        </w:rPr>
        <w:t xml:space="preserve"> and no interference </w:t>
      </w:r>
      <w:r w:rsidR="009A1631">
        <w:rPr>
          <w:rFonts w:cs="Times New Roman"/>
          <w:szCs w:val="24"/>
        </w:rPr>
        <w:t xml:space="preserve">levels in comparison </w:t>
      </w:r>
      <w:r w:rsidR="000E4FCD" w:rsidRPr="00936457">
        <w:rPr>
          <w:rFonts w:cs="Times New Roman"/>
          <w:szCs w:val="24"/>
        </w:rPr>
        <w:t>to the biological matrix, indicating the same matrix effect. Surrogate matrices are used when it is impossible to receive biological matrix</w:t>
      </w:r>
      <w:r w:rsidR="009A1631">
        <w:rPr>
          <w:rFonts w:cs="Times New Roman"/>
          <w:szCs w:val="24"/>
        </w:rPr>
        <w:t xml:space="preserve"> that are free from </w:t>
      </w:r>
      <w:proofErr w:type="spellStart"/>
      <w:r w:rsidR="009A1631">
        <w:rPr>
          <w:rFonts w:cs="Times New Roman"/>
          <w:szCs w:val="24"/>
        </w:rPr>
        <w:t>analyte</w:t>
      </w:r>
      <w:proofErr w:type="spellEnd"/>
      <w:r w:rsidR="000E4FCD" w:rsidRPr="00936457">
        <w:rPr>
          <w:rFonts w:cs="Times New Roman"/>
          <w:szCs w:val="24"/>
        </w:rPr>
        <w:t xml:space="preserve">. Addition of activated carbon possibly removes endogenous carbons from liquid matrices. The sample should then be mixed thoroughly and ensure that all the activated carbon are specially removed before spiking the matrix with analytes. The resulting compound however is a different form of matrix since more than the targeted matrix is removed and the fact that carbon bound to lipoproteins cannot be removed. Affinity extraction can also be adopted to </w:t>
      </w:r>
      <w:r w:rsidR="000E4FCD" w:rsidRPr="00936457">
        <w:rPr>
          <w:rFonts w:cs="Times New Roman"/>
          <w:szCs w:val="24"/>
        </w:rPr>
        <w:lastRenderedPageBreak/>
        <w:t xml:space="preserve">provide a blank matrix for validation, but they are time consuming, expensive and in specified cases, there is need for antibodies for the </w:t>
      </w:r>
      <w:proofErr w:type="spellStart"/>
      <w:r w:rsidR="000E4FCD" w:rsidRPr="00936457">
        <w:rPr>
          <w:rFonts w:cs="Times New Roman"/>
          <w:szCs w:val="24"/>
        </w:rPr>
        <w:t>anayte</w:t>
      </w:r>
      <w:proofErr w:type="spellEnd"/>
      <w:r w:rsidR="000E4FCD" w:rsidRPr="00936457">
        <w:rPr>
          <w:rFonts w:cs="Times New Roman"/>
          <w:szCs w:val="24"/>
        </w:rPr>
        <w:t xml:space="preserve">. Another approach is the thermal instable analytes, whose validation fails due to possible destruction of further matrix compounds. </w:t>
      </w:r>
      <w:r w:rsidR="00FD5145" w:rsidRPr="00936457">
        <w:rPr>
          <w:rFonts w:cs="Times New Roman"/>
          <w:szCs w:val="24"/>
        </w:rPr>
        <w:t>The only recommended approach is the affinity extraction, which demands specialized validation procedures. A surrogate matrix can be adopted in place due to lack samples</w:t>
      </w:r>
      <w:r w:rsidR="009A1631">
        <w:rPr>
          <w:rFonts w:cs="Times New Roman"/>
          <w:szCs w:val="24"/>
        </w:rPr>
        <w:t xml:space="preserve"> from authentic matrices</w:t>
      </w:r>
      <w:r w:rsidR="00FD5145" w:rsidRPr="00936457">
        <w:rPr>
          <w:rFonts w:cs="Times New Roman"/>
          <w:szCs w:val="24"/>
        </w:rPr>
        <w:t xml:space="preserve"> </w:t>
      </w:r>
      <w:r w:rsidR="009A1631">
        <w:rPr>
          <w:rFonts w:cs="Times New Roman"/>
          <w:szCs w:val="24"/>
        </w:rPr>
        <w:t xml:space="preserve">that are </w:t>
      </w:r>
      <w:proofErr w:type="spellStart"/>
      <w:r w:rsidR="009A1631">
        <w:rPr>
          <w:rFonts w:cs="Times New Roman"/>
          <w:szCs w:val="24"/>
        </w:rPr>
        <w:t>analyte</w:t>
      </w:r>
      <w:proofErr w:type="spellEnd"/>
      <w:r w:rsidR="009A1631">
        <w:rPr>
          <w:rFonts w:cs="Times New Roman"/>
          <w:szCs w:val="24"/>
        </w:rPr>
        <w:t xml:space="preserve"> free </w:t>
      </w:r>
      <w:sdt>
        <w:sdtPr>
          <w:rPr>
            <w:rFonts w:cs="Times New Roman"/>
            <w:szCs w:val="24"/>
          </w:rPr>
          <w:id w:val="-194689539"/>
          <w:citation/>
        </w:sdtPr>
        <w:sdtContent>
          <w:r w:rsidR="00FD5145" w:rsidRPr="00936457">
            <w:rPr>
              <w:rFonts w:cs="Times New Roman"/>
              <w:szCs w:val="24"/>
            </w:rPr>
            <w:fldChar w:fldCharType="begin"/>
          </w:r>
          <w:r w:rsidR="00FD5145" w:rsidRPr="00936457">
            <w:rPr>
              <w:rFonts w:cs="Times New Roman"/>
              <w:szCs w:val="24"/>
            </w:rPr>
            <w:instrText xml:space="preserve"> CITATION Hes18 \l 1033 </w:instrText>
          </w:r>
          <w:r w:rsidR="00FD5145" w:rsidRPr="00936457">
            <w:rPr>
              <w:rFonts w:cs="Times New Roman"/>
              <w:szCs w:val="24"/>
            </w:rPr>
            <w:fldChar w:fldCharType="separate"/>
          </w:r>
          <w:r w:rsidR="00FD5145" w:rsidRPr="00936457">
            <w:rPr>
              <w:rFonts w:cs="Times New Roman"/>
              <w:noProof/>
              <w:szCs w:val="24"/>
            </w:rPr>
            <w:t>(Hess, Sydow, Kueting, Kraemer, &amp; Maas, 2018)</w:t>
          </w:r>
          <w:r w:rsidR="00FD5145" w:rsidRPr="00936457">
            <w:rPr>
              <w:rFonts w:cs="Times New Roman"/>
              <w:szCs w:val="24"/>
            </w:rPr>
            <w:fldChar w:fldCharType="end"/>
          </w:r>
        </w:sdtContent>
      </w:sdt>
      <w:r w:rsidR="00FD5145" w:rsidRPr="00936457">
        <w:rPr>
          <w:rFonts w:cs="Times New Roman"/>
          <w:szCs w:val="24"/>
        </w:rPr>
        <w:t xml:space="preserve">. </w:t>
      </w:r>
    </w:p>
    <w:p w:rsidR="00FD5145" w:rsidRPr="00936457" w:rsidRDefault="00FD5145" w:rsidP="00E8418E">
      <w:pPr>
        <w:ind w:firstLine="720"/>
        <w:rPr>
          <w:rFonts w:cs="Times New Roman"/>
          <w:szCs w:val="24"/>
        </w:rPr>
      </w:pPr>
      <w:r w:rsidRPr="00936457">
        <w:rPr>
          <w:rFonts w:cs="Times New Roman"/>
          <w:szCs w:val="24"/>
        </w:rPr>
        <w:t xml:space="preserve">The validation parameters adopted when it is not possible to remove the </w:t>
      </w:r>
      <w:proofErr w:type="spellStart"/>
      <w:r w:rsidRPr="00936457">
        <w:rPr>
          <w:rFonts w:cs="Times New Roman"/>
          <w:szCs w:val="24"/>
        </w:rPr>
        <w:t>analyte</w:t>
      </w:r>
      <w:proofErr w:type="spellEnd"/>
      <w:r w:rsidRPr="00936457">
        <w:rPr>
          <w:rFonts w:cs="Times New Roman"/>
          <w:szCs w:val="24"/>
        </w:rPr>
        <w:t xml:space="preserve"> from the authentic matrix mix, and it is not possible to find an appropriate matrix mix, include selectivity, stability,</w:t>
      </w:r>
      <w:bookmarkStart w:id="0" w:name="_GoBack"/>
      <w:bookmarkEnd w:id="0"/>
      <w:r w:rsidRPr="00936457">
        <w:rPr>
          <w:rFonts w:cs="Times New Roman"/>
          <w:szCs w:val="24"/>
        </w:rPr>
        <w:t xml:space="preserve"> accuracy, calibration model, limits of methods, and the recovery and matrix effects. Other considerations include carryover and dilution integrity. Selectivity judges the capability of the bioanalytical method to measure unequivocally and to differentiate the </w:t>
      </w:r>
      <w:proofErr w:type="spellStart"/>
      <w:r w:rsidRPr="00936457">
        <w:rPr>
          <w:rFonts w:cs="Times New Roman"/>
          <w:szCs w:val="24"/>
        </w:rPr>
        <w:t>analyte</w:t>
      </w:r>
      <w:proofErr w:type="spellEnd"/>
      <w:r w:rsidRPr="00936457">
        <w:rPr>
          <w:rFonts w:cs="Times New Roman"/>
          <w:szCs w:val="24"/>
        </w:rPr>
        <w:t xml:space="preserve"> in the presence of components, whic</w:t>
      </w:r>
      <w:r w:rsidR="00F460C8" w:rsidRPr="00936457">
        <w:rPr>
          <w:rFonts w:cs="Times New Roman"/>
          <w:szCs w:val="24"/>
        </w:rPr>
        <w:t>h may be expected to be present</w:t>
      </w:r>
      <w:r w:rsidRPr="00936457">
        <w:rPr>
          <w:rFonts w:cs="Times New Roman"/>
          <w:szCs w:val="24"/>
        </w:rPr>
        <w:t xml:space="preserve">. Selectivity adopts three experiments for validation purposes; analysis of different sources of blank matrices, use of stable-isotope analogues of the targeted analytes, and </w:t>
      </w:r>
      <w:r w:rsidR="00F460C8" w:rsidRPr="00936457">
        <w:rPr>
          <w:rFonts w:cs="Times New Roman"/>
          <w:szCs w:val="24"/>
        </w:rPr>
        <w:t xml:space="preserve">measure of different compounds to ensure chromatographic separation of the </w:t>
      </w:r>
      <w:proofErr w:type="spellStart"/>
      <w:r w:rsidR="00F460C8" w:rsidRPr="00936457">
        <w:rPr>
          <w:rFonts w:cs="Times New Roman"/>
          <w:szCs w:val="24"/>
        </w:rPr>
        <w:t>analyte</w:t>
      </w:r>
      <w:proofErr w:type="spellEnd"/>
      <w:r w:rsidR="00F460C8" w:rsidRPr="00936457">
        <w:rPr>
          <w:rFonts w:cs="Times New Roman"/>
          <w:szCs w:val="24"/>
        </w:rPr>
        <w:t xml:space="preserve">. The calibration model evaluates the linear relationship between the signal and concentration of the </w:t>
      </w:r>
      <w:proofErr w:type="spellStart"/>
      <w:r w:rsidR="00F460C8" w:rsidRPr="00936457">
        <w:rPr>
          <w:rFonts w:cs="Times New Roman"/>
          <w:szCs w:val="24"/>
        </w:rPr>
        <w:t>analyte</w:t>
      </w:r>
      <w:proofErr w:type="spellEnd"/>
      <w:r w:rsidR="00F460C8" w:rsidRPr="00936457">
        <w:rPr>
          <w:rFonts w:cs="Times New Roman"/>
          <w:szCs w:val="24"/>
        </w:rPr>
        <w:t>.</w:t>
      </w:r>
    </w:p>
    <w:p w:rsidR="00F460C8" w:rsidRPr="00936457" w:rsidRDefault="00F460C8" w:rsidP="00E8418E">
      <w:pPr>
        <w:ind w:firstLine="720"/>
        <w:rPr>
          <w:rFonts w:cs="Times New Roman"/>
          <w:szCs w:val="24"/>
        </w:rPr>
      </w:pPr>
      <w:r w:rsidRPr="00936457">
        <w:rPr>
          <w:rFonts w:cs="Times New Roman"/>
          <w:szCs w:val="24"/>
        </w:rPr>
        <w:t xml:space="preserve">Quantification demands that the matrix calibration, erasing the endogenous content, I compared to the solvent calibration. The two should not differ significantly. Accuracy, according to the FDA recommendation, demands preparation of quality controls to spike down the analysts in the same biological matrix. The stability values relevant include </w:t>
      </w:r>
      <w:r w:rsidR="00C3777E" w:rsidRPr="00936457">
        <w:rPr>
          <w:rFonts w:cs="Times New Roman"/>
          <w:szCs w:val="24"/>
        </w:rPr>
        <w:t xml:space="preserve">long-term, </w:t>
      </w:r>
      <w:r w:rsidRPr="00936457">
        <w:rPr>
          <w:rFonts w:cs="Times New Roman"/>
          <w:szCs w:val="24"/>
        </w:rPr>
        <w:t>sample, and freeze and thaw stabilities</w:t>
      </w:r>
      <w:r w:rsidR="00C3777E" w:rsidRPr="00936457">
        <w:rPr>
          <w:rFonts w:cs="Times New Roman"/>
          <w:szCs w:val="24"/>
        </w:rPr>
        <w:t xml:space="preserve"> </w:t>
      </w:r>
      <w:sdt>
        <w:sdtPr>
          <w:rPr>
            <w:rFonts w:cs="Times New Roman"/>
            <w:szCs w:val="24"/>
          </w:rPr>
          <w:id w:val="-816339042"/>
          <w:citation/>
        </w:sdtPr>
        <w:sdtContent>
          <w:r w:rsidR="00C3777E" w:rsidRPr="00936457">
            <w:rPr>
              <w:rFonts w:cs="Times New Roman"/>
              <w:szCs w:val="24"/>
            </w:rPr>
            <w:fldChar w:fldCharType="begin"/>
          </w:r>
          <w:r w:rsidR="00C3777E" w:rsidRPr="00936457">
            <w:rPr>
              <w:rFonts w:cs="Times New Roman"/>
              <w:szCs w:val="24"/>
            </w:rPr>
            <w:instrText xml:space="preserve"> CITATION Hes18 \l 1033 </w:instrText>
          </w:r>
          <w:r w:rsidR="00C3777E" w:rsidRPr="00936457">
            <w:rPr>
              <w:rFonts w:cs="Times New Roman"/>
              <w:szCs w:val="24"/>
            </w:rPr>
            <w:fldChar w:fldCharType="separate"/>
          </w:r>
          <w:r w:rsidR="00C3777E" w:rsidRPr="00936457">
            <w:rPr>
              <w:rFonts w:cs="Times New Roman"/>
              <w:noProof/>
              <w:szCs w:val="24"/>
            </w:rPr>
            <w:t>(Hess, Sydow, Kueting, Kraemer, &amp; Maas, 2018)</w:t>
          </w:r>
          <w:r w:rsidR="00C3777E" w:rsidRPr="00936457">
            <w:rPr>
              <w:rFonts w:cs="Times New Roman"/>
              <w:szCs w:val="24"/>
            </w:rPr>
            <w:fldChar w:fldCharType="end"/>
          </w:r>
        </w:sdtContent>
      </w:sdt>
      <w:r w:rsidRPr="00936457">
        <w:rPr>
          <w:rFonts w:cs="Times New Roman"/>
          <w:szCs w:val="24"/>
        </w:rPr>
        <w:t xml:space="preserve">. </w:t>
      </w:r>
    </w:p>
    <w:p w:rsidR="00C3777E" w:rsidRPr="00936457" w:rsidRDefault="00227831" w:rsidP="00E8418E">
      <w:pPr>
        <w:ind w:firstLine="720"/>
        <w:rPr>
          <w:rFonts w:cs="Times New Roman"/>
          <w:szCs w:val="24"/>
        </w:rPr>
      </w:pPr>
      <w:r w:rsidRPr="00936457">
        <w:rPr>
          <w:rFonts w:cs="Times New Roman"/>
          <w:szCs w:val="24"/>
        </w:rPr>
        <w:lastRenderedPageBreak/>
        <w:t xml:space="preserve">The CDC estimates an average of 60,000 fatalities brought about by drug overdose in 2016, of whose majority were caused by novel opioids and their constituent analogs. Of the analogs, 3-methylfentanyl (3-MF) is noted to making resurgence. The opioid is based on the addition of methyl group to the fentanyl structure creating a </w:t>
      </w:r>
      <w:proofErr w:type="spellStart"/>
      <w:r w:rsidRPr="00936457">
        <w:rPr>
          <w:rFonts w:cs="Times New Roman"/>
          <w:szCs w:val="24"/>
        </w:rPr>
        <w:t>diastereomeric</w:t>
      </w:r>
      <w:proofErr w:type="spellEnd"/>
      <w:r w:rsidRPr="00936457">
        <w:rPr>
          <w:rFonts w:cs="Times New Roman"/>
          <w:szCs w:val="24"/>
        </w:rPr>
        <w:t xml:space="preserve"> species. </w:t>
      </w:r>
      <w:r w:rsidR="00D113BC" w:rsidRPr="00936457">
        <w:rPr>
          <w:rFonts w:cs="Times New Roman"/>
          <w:szCs w:val="24"/>
        </w:rPr>
        <w:t>Of the constituents, (+)-</w:t>
      </w:r>
      <w:r w:rsidR="00D113BC" w:rsidRPr="00936457">
        <w:rPr>
          <w:rFonts w:cs="Times New Roman"/>
          <w:i/>
          <w:szCs w:val="24"/>
        </w:rPr>
        <w:t>cis</w:t>
      </w:r>
      <w:r w:rsidR="00D113BC" w:rsidRPr="00936457">
        <w:rPr>
          <w:rFonts w:cs="Times New Roman"/>
          <w:szCs w:val="24"/>
        </w:rPr>
        <w:t>-3-MF was determined to be 6700 more potent than morphine and 16 times more potent than fentanyl. The compound binds to the mu opioid receptor which attributes its high potency. The potency of 3-MF limits the recreational to 0.1-0.5 mg compared to 8-16mg of heroin. (+)-3-</w:t>
      </w:r>
      <w:proofErr w:type="gramStart"/>
      <w:r w:rsidR="00D113BC" w:rsidRPr="00936457">
        <w:rPr>
          <w:rFonts w:cs="Times New Roman"/>
          <w:i/>
          <w:szCs w:val="24"/>
        </w:rPr>
        <w:t>trans</w:t>
      </w:r>
      <w:r w:rsidR="00D113BC" w:rsidRPr="00936457">
        <w:rPr>
          <w:rFonts w:cs="Times New Roman"/>
          <w:szCs w:val="24"/>
        </w:rPr>
        <w:t>-</w:t>
      </w:r>
      <w:proofErr w:type="gramEnd"/>
      <w:r w:rsidR="00D113BC" w:rsidRPr="00936457">
        <w:rPr>
          <w:rFonts w:cs="Times New Roman"/>
          <w:szCs w:val="24"/>
        </w:rPr>
        <w:t>MF did not display similar levels of potency.</w:t>
      </w:r>
    </w:p>
    <w:p w:rsidR="00D113BC" w:rsidRPr="00936457" w:rsidRDefault="00D113BC" w:rsidP="00E8418E">
      <w:pPr>
        <w:ind w:firstLine="720"/>
        <w:rPr>
          <w:rFonts w:cs="Times New Roman"/>
          <w:szCs w:val="24"/>
        </w:rPr>
      </w:pPr>
      <w:r w:rsidRPr="00936457">
        <w:rPr>
          <w:rFonts w:cs="Times New Roman"/>
          <w:szCs w:val="24"/>
        </w:rPr>
        <w:t xml:space="preserve">Samples with the presence of 3-MF </w:t>
      </w:r>
      <w:r w:rsidR="003C1618" w:rsidRPr="00936457">
        <w:rPr>
          <w:rFonts w:cs="Times New Roman"/>
          <w:szCs w:val="24"/>
        </w:rPr>
        <w:t xml:space="preserve">from liquid chromatography tandem mass spectrometry </w:t>
      </w:r>
      <w:r w:rsidRPr="00936457">
        <w:rPr>
          <w:rFonts w:cs="Times New Roman"/>
          <w:szCs w:val="24"/>
        </w:rPr>
        <w:t>were collected from dead and live people and the concentrations of (+)-</w:t>
      </w:r>
      <w:r w:rsidRPr="00936457">
        <w:rPr>
          <w:rFonts w:cs="Times New Roman"/>
          <w:i/>
          <w:szCs w:val="24"/>
        </w:rPr>
        <w:t>cis</w:t>
      </w:r>
      <w:r w:rsidRPr="00936457">
        <w:rPr>
          <w:rFonts w:cs="Times New Roman"/>
          <w:szCs w:val="24"/>
        </w:rPr>
        <w:t>-3-MF and (+)-</w:t>
      </w:r>
      <w:r w:rsidRPr="00936457">
        <w:rPr>
          <w:rFonts w:cs="Times New Roman"/>
          <w:i/>
          <w:szCs w:val="24"/>
        </w:rPr>
        <w:t>trans</w:t>
      </w:r>
      <w:r w:rsidRPr="00936457">
        <w:rPr>
          <w:rFonts w:cs="Times New Roman"/>
          <w:szCs w:val="24"/>
        </w:rPr>
        <w:t>-3-MF</w:t>
      </w:r>
      <w:r w:rsidR="003C1618" w:rsidRPr="00936457">
        <w:rPr>
          <w:rFonts w:cs="Times New Roman"/>
          <w:szCs w:val="24"/>
        </w:rPr>
        <w:t xml:space="preserve"> were determined </w:t>
      </w:r>
      <w:sdt>
        <w:sdtPr>
          <w:rPr>
            <w:rFonts w:cs="Times New Roman"/>
            <w:szCs w:val="24"/>
          </w:rPr>
          <w:id w:val="909970416"/>
          <w:citation/>
        </w:sdtPr>
        <w:sdtContent>
          <w:r w:rsidR="003C1618" w:rsidRPr="00936457">
            <w:rPr>
              <w:rFonts w:cs="Times New Roman"/>
              <w:szCs w:val="24"/>
            </w:rPr>
            <w:fldChar w:fldCharType="begin"/>
          </w:r>
          <w:r w:rsidR="003C1618" w:rsidRPr="00936457">
            <w:rPr>
              <w:rFonts w:cs="Times New Roman"/>
              <w:szCs w:val="24"/>
            </w:rPr>
            <w:instrText xml:space="preserve"> CITATION Fog18 \l 1033 </w:instrText>
          </w:r>
          <w:r w:rsidR="003C1618" w:rsidRPr="00936457">
            <w:rPr>
              <w:rFonts w:cs="Times New Roman"/>
              <w:szCs w:val="24"/>
            </w:rPr>
            <w:fldChar w:fldCharType="separate"/>
          </w:r>
          <w:r w:rsidR="003C1618" w:rsidRPr="00936457">
            <w:rPr>
              <w:rFonts w:cs="Times New Roman"/>
              <w:noProof/>
              <w:szCs w:val="24"/>
            </w:rPr>
            <w:t>(Fogarty, Papsun, &amp; Logan, 2018)</w:t>
          </w:r>
          <w:r w:rsidR="003C1618" w:rsidRPr="00936457">
            <w:rPr>
              <w:rFonts w:cs="Times New Roman"/>
              <w:szCs w:val="24"/>
            </w:rPr>
            <w:fldChar w:fldCharType="end"/>
          </w:r>
        </w:sdtContent>
      </w:sdt>
      <w:r w:rsidR="003C1618" w:rsidRPr="00936457">
        <w:rPr>
          <w:rFonts w:cs="Times New Roman"/>
          <w:szCs w:val="24"/>
        </w:rPr>
        <w:t>. The SPE was used in sample extraction, with the columns conditioned with methanol, phosphate buffer, and deionize water. Samples were passed through the cartridges after which the latter were dried under full vacuum. The resu</w:t>
      </w:r>
      <w:r w:rsidR="00E8418E" w:rsidRPr="00936457">
        <w:rPr>
          <w:rFonts w:cs="Times New Roman"/>
          <w:szCs w:val="24"/>
        </w:rPr>
        <w:t>l</w:t>
      </w:r>
      <w:r w:rsidR="003C1618" w:rsidRPr="00936457">
        <w:rPr>
          <w:rFonts w:cs="Times New Roman"/>
          <w:szCs w:val="24"/>
        </w:rPr>
        <w:t xml:space="preserve">ts indicate that </w:t>
      </w:r>
      <w:r w:rsidR="00E8418E" w:rsidRPr="00936457">
        <w:rPr>
          <w:rFonts w:cs="Times New Roman"/>
          <w:szCs w:val="24"/>
        </w:rPr>
        <w:t xml:space="preserve">for </w:t>
      </w:r>
      <w:r w:rsidR="003C1618" w:rsidRPr="00936457">
        <w:rPr>
          <w:rFonts w:cs="Times New Roman"/>
          <w:szCs w:val="24"/>
        </w:rPr>
        <w:t>(±)-</w:t>
      </w:r>
      <w:r w:rsidR="003C1618" w:rsidRPr="00936457">
        <w:rPr>
          <w:rFonts w:cs="Times New Roman"/>
          <w:i/>
          <w:iCs/>
          <w:szCs w:val="24"/>
        </w:rPr>
        <w:t>cis</w:t>
      </w:r>
      <w:r w:rsidR="003C1618" w:rsidRPr="00936457">
        <w:rPr>
          <w:rFonts w:cs="Times New Roman"/>
          <w:szCs w:val="24"/>
        </w:rPr>
        <w:t xml:space="preserve">-3-MF, the </w:t>
      </w:r>
      <w:r w:rsidR="00E8418E" w:rsidRPr="00936457">
        <w:rPr>
          <w:rFonts w:cs="Times New Roman"/>
          <w:szCs w:val="24"/>
        </w:rPr>
        <w:t xml:space="preserve">accuracy </w:t>
      </w:r>
      <w:r w:rsidR="003C1618" w:rsidRPr="00936457">
        <w:rPr>
          <w:rFonts w:cs="Times New Roman"/>
          <w:szCs w:val="24"/>
        </w:rPr>
        <w:t xml:space="preserve">bias </w:t>
      </w:r>
      <w:r w:rsidR="00E8418E" w:rsidRPr="00936457">
        <w:rPr>
          <w:rFonts w:cs="Times New Roman"/>
          <w:szCs w:val="24"/>
        </w:rPr>
        <w:t xml:space="preserve">rate is </w:t>
      </w:r>
      <w:r w:rsidR="003C1618" w:rsidRPr="00936457">
        <w:rPr>
          <w:rFonts w:cs="Times New Roman"/>
          <w:szCs w:val="24"/>
        </w:rPr>
        <w:t xml:space="preserve">-6.6% for the lower limit of quantitation (LLOQ), and </w:t>
      </w:r>
      <w:r w:rsidR="00E8418E" w:rsidRPr="00936457">
        <w:rPr>
          <w:rFonts w:cs="Times New Roman"/>
          <w:szCs w:val="24"/>
        </w:rPr>
        <w:t xml:space="preserve">where </w:t>
      </w:r>
      <w:r w:rsidR="003C1618" w:rsidRPr="00936457">
        <w:rPr>
          <w:rFonts w:cs="Times New Roman"/>
          <w:szCs w:val="24"/>
        </w:rPr>
        <w:t xml:space="preserve">2.8% </w:t>
      </w:r>
      <w:r w:rsidR="00E8418E" w:rsidRPr="00936457">
        <w:rPr>
          <w:rFonts w:cs="Times New Roman"/>
          <w:szCs w:val="24"/>
        </w:rPr>
        <w:t xml:space="preserve">describes the </w:t>
      </w:r>
      <w:r w:rsidR="003C1618" w:rsidRPr="00936457">
        <w:rPr>
          <w:rFonts w:cs="Times New Roman"/>
          <w:szCs w:val="24"/>
        </w:rPr>
        <w:t xml:space="preserve">low </w:t>
      </w:r>
      <w:r w:rsidR="00E8418E" w:rsidRPr="00936457">
        <w:rPr>
          <w:rFonts w:cs="Times New Roman"/>
          <w:szCs w:val="24"/>
        </w:rPr>
        <w:t xml:space="preserve">control, while </w:t>
      </w:r>
      <w:r w:rsidR="003C1618" w:rsidRPr="00936457">
        <w:rPr>
          <w:rFonts w:cs="Times New Roman"/>
          <w:szCs w:val="24"/>
        </w:rPr>
        <w:t xml:space="preserve">-2% </w:t>
      </w:r>
      <w:r w:rsidR="00E8418E" w:rsidRPr="00936457">
        <w:rPr>
          <w:rFonts w:cs="Times New Roman"/>
          <w:szCs w:val="24"/>
        </w:rPr>
        <w:t xml:space="preserve">described the </w:t>
      </w:r>
      <w:r w:rsidR="003C1618" w:rsidRPr="00936457">
        <w:rPr>
          <w:rFonts w:cs="Times New Roman"/>
          <w:szCs w:val="24"/>
        </w:rPr>
        <w:t>high control. The resulting within-run precision for the LLOQ was 13.1%, and low and high controls was less than 3% and between-run precision for the LLOQ</w:t>
      </w:r>
      <w:r w:rsidR="00E8418E" w:rsidRPr="00936457">
        <w:rPr>
          <w:rFonts w:cs="Times New Roman"/>
          <w:szCs w:val="24"/>
        </w:rPr>
        <w:t xml:space="preserve"> at 12.6%</w:t>
      </w:r>
      <w:r w:rsidR="003C1618" w:rsidRPr="00936457">
        <w:rPr>
          <w:rFonts w:cs="Times New Roman"/>
          <w:szCs w:val="24"/>
        </w:rPr>
        <w:t xml:space="preserve">, low </w:t>
      </w:r>
      <w:r w:rsidR="00E8418E" w:rsidRPr="00936457">
        <w:rPr>
          <w:rFonts w:cs="Times New Roman"/>
          <w:szCs w:val="24"/>
        </w:rPr>
        <w:t xml:space="preserve">control at 3% and </w:t>
      </w:r>
      <w:r w:rsidR="003C1618" w:rsidRPr="00936457">
        <w:rPr>
          <w:rFonts w:cs="Times New Roman"/>
          <w:szCs w:val="24"/>
        </w:rPr>
        <w:t xml:space="preserve">high control </w:t>
      </w:r>
      <w:r w:rsidR="00E8418E" w:rsidRPr="00936457">
        <w:rPr>
          <w:rFonts w:cs="Times New Roman"/>
          <w:szCs w:val="24"/>
        </w:rPr>
        <w:t xml:space="preserve">at </w:t>
      </w:r>
      <w:r w:rsidR="003C1618" w:rsidRPr="00936457">
        <w:rPr>
          <w:rFonts w:cs="Times New Roman"/>
          <w:szCs w:val="24"/>
        </w:rPr>
        <w:t>7.7%. For (±)-</w:t>
      </w:r>
      <w:proofErr w:type="gramStart"/>
      <w:r w:rsidR="003C1618" w:rsidRPr="00936457">
        <w:rPr>
          <w:rFonts w:cs="Times New Roman"/>
          <w:i/>
          <w:iCs/>
          <w:szCs w:val="24"/>
        </w:rPr>
        <w:t>trans</w:t>
      </w:r>
      <w:r w:rsidR="003C1618" w:rsidRPr="00936457">
        <w:rPr>
          <w:rFonts w:cs="Times New Roman"/>
          <w:szCs w:val="24"/>
        </w:rPr>
        <w:t>-</w:t>
      </w:r>
      <w:proofErr w:type="gramEnd"/>
      <w:r w:rsidR="003C1618" w:rsidRPr="00936457">
        <w:rPr>
          <w:rFonts w:cs="Times New Roman"/>
          <w:szCs w:val="24"/>
        </w:rPr>
        <w:t xml:space="preserve">3-MF, the bias </w:t>
      </w:r>
      <w:r w:rsidR="00E8418E" w:rsidRPr="00936457">
        <w:rPr>
          <w:rFonts w:cs="Times New Roman"/>
          <w:szCs w:val="24"/>
        </w:rPr>
        <w:t>rate defining the LLOQ was</w:t>
      </w:r>
      <w:r w:rsidR="003C1618" w:rsidRPr="00936457">
        <w:rPr>
          <w:rFonts w:cs="Times New Roman"/>
          <w:szCs w:val="24"/>
        </w:rPr>
        <w:t xml:space="preserve"> -6.8%</w:t>
      </w:r>
      <w:r w:rsidR="00E8418E" w:rsidRPr="00936457">
        <w:rPr>
          <w:rFonts w:cs="Times New Roman"/>
          <w:szCs w:val="24"/>
        </w:rPr>
        <w:t>,</w:t>
      </w:r>
      <w:r w:rsidR="003C1618" w:rsidRPr="00936457">
        <w:rPr>
          <w:rFonts w:cs="Times New Roman"/>
          <w:szCs w:val="24"/>
        </w:rPr>
        <w:t xml:space="preserve"> </w:t>
      </w:r>
      <w:r w:rsidR="00E8418E" w:rsidRPr="00936457">
        <w:rPr>
          <w:rFonts w:cs="Times New Roman"/>
          <w:szCs w:val="24"/>
        </w:rPr>
        <w:t xml:space="preserve">with concurrent rates of </w:t>
      </w:r>
      <w:r w:rsidR="003C1618" w:rsidRPr="00936457">
        <w:rPr>
          <w:rFonts w:cs="Times New Roman"/>
          <w:szCs w:val="24"/>
        </w:rPr>
        <w:t xml:space="preserve">2.8% </w:t>
      </w:r>
      <w:r w:rsidR="00E8418E" w:rsidRPr="00936457">
        <w:rPr>
          <w:rFonts w:cs="Times New Roman"/>
          <w:szCs w:val="24"/>
        </w:rPr>
        <w:t xml:space="preserve">low and </w:t>
      </w:r>
      <w:r w:rsidR="003C1618" w:rsidRPr="00936457">
        <w:rPr>
          <w:rFonts w:cs="Times New Roman"/>
          <w:szCs w:val="24"/>
        </w:rPr>
        <w:t xml:space="preserve">-0.04% high control. The </w:t>
      </w:r>
      <w:r w:rsidR="00E8418E" w:rsidRPr="00936457">
        <w:rPr>
          <w:rFonts w:cs="Times New Roman"/>
          <w:szCs w:val="24"/>
        </w:rPr>
        <w:t xml:space="preserve">rate of values describing </w:t>
      </w:r>
      <w:r w:rsidR="003C1618" w:rsidRPr="00936457">
        <w:rPr>
          <w:rFonts w:cs="Times New Roman"/>
          <w:szCs w:val="24"/>
        </w:rPr>
        <w:t xml:space="preserve">within-run precision </w:t>
      </w:r>
      <w:r w:rsidR="00E8418E" w:rsidRPr="00936457">
        <w:rPr>
          <w:rFonts w:cs="Times New Roman"/>
          <w:szCs w:val="24"/>
        </w:rPr>
        <w:t xml:space="preserve">was 1.7% for </w:t>
      </w:r>
      <w:r w:rsidR="003C1618" w:rsidRPr="00936457">
        <w:rPr>
          <w:rFonts w:cs="Times New Roman"/>
          <w:szCs w:val="24"/>
        </w:rPr>
        <w:t xml:space="preserve">LLOQ, </w:t>
      </w:r>
      <w:r w:rsidR="00E8418E" w:rsidRPr="00936457">
        <w:rPr>
          <w:rFonts w:cs="Times New Roman"/>
          <w:szCs w:val="24"/>
        </w:rPr>
        <w:t xml:space="preserve">2.2% for </w:t>
      </w:r>
      <w:r w:rsidR="003C1618" w:rsidRPr="00936457">
        <w:rPr>
          <w:rFonts w:cs="Times New Roman"/>
          <w:szCs w:val="24"/>
        </w:rPr>
        <w:t xml:space="preserve">low and </w:t>
      </w:r>
      <w:r w:rsidR="00E8418E" w:rsidRPr="00936457">
        <w:rPr>
          <w:rFonts w:cs="Times New Roman"/>
          <w:szCs w:val="24"/>
        </w:rPr>
        <w:t xml:space="preserve">1.5% for </w:t>
      </w:r>
      <w:r w:rsidR="003C1618" w:rsidRPr="00936457">
        <w:rPr>
          <w:rFonts w:cs="Times New Roman"/>
          <w:szCs w:val="24"/>
        </w:rPr>
        <w:t xml:space="preserve">high controls. </w:t>
      </w:r>
      <w:r w:rsidR="00E8418E" w:rsidRPr="00936457">
        <w:rPr>
          <w:rFonts w:cs="Times New Roman"/>
          <w:szCs w:val="24"/>
        </w:rPr>
        <w:t>Further analysis demonstrated a result of</w:t>
      </w:r>
      <w:r w:rsidR="003C1618" w:rsidRPr="00936457">
        <w:rPr>
          <w:rFonts w:cs="Times New Roman"/>
          <w:szCs w:val="24"/>
        </w:rPr>
        <w:t xml:space="preserve"> between-run precision </w:t>
      </w:r>
      <w:r w:rsidR="00E8418E" w:rsidRPr="00936457">
        <w:rPr>
          <w:rFonts w:cs="Times New Roman"/>
          <w:szCs w:val="24"/>
        </w:rPr>
        <w:t xml:space="preserve">at </w:t>
      </w:r>
      <w:r w:rsidR="003C1618" w:rsidRPr="00936457">
        <w:rPr>
          <w:rFonts w:cs="Times New Roman"/>
          <w:szCs w:val="24"/>
        </w:rPr>
        <w:t>9.7% for the LLOQ, 4.6% low control, and 5.3% high control.</w:t>
      </w:r>
    </w:p>
    <w:p w:rsidR="00121494" w:rsidRPr="00936457" w:rsidRDefault="00E8418E" w:rsidP="00A16A41">
      <w:pPr>
        <w:ind w:firstLine="720"/>
        <w:rPr>
          <w:rFonts w:cs="Times New Roman"/>
          <w:szCs w:val="24"/>
        </w:rPr>
      </w:pPr>
      <w:r w:rsidRPr="00936457">
        <w:rPr>
          <w:rFonts w:cs="Times New Roman"/>
          <w:szCs w:val="24"/>
        </w:rPr>
        <w:lastRenderedPageBreak/>
        <w:t xml:space="preserve">The two isomers adopted were stable for 30 days at all temperatures, with the methods demonstrating no carryover above the 10ng/mL calibrator. The study adopted 27 samples </w:t>
      </w:r>
      <w:r w:rsidR="00A322D6" w:rsidRPr="00936457">
        <w:rPr>
          <w:rFonts w:cs="Times New Roman"/>
          <w:szCs w:val="24"/>
        </w:rPr>
        <w:t>of average age n=25 with a deviation of 10 years and the median were 30. 22 individuals were male, 4 females, and one whose gender was not provided. The samples were suspected of 3-MF. Mean and median for (+)-</w:t>
      </w:r>
      <w:r w:rsidR="00A322D6" w:rsidRPr="00936457">
        <w:rPr>
          <w:rFonts w:cs="Times New Roman"/>
          <w:i/>
          <w:szCs w:val="24"/>
        </w:rPr>
        <w:t>cis</w:t>
      </w:r>
      <w:r w:rsidR="00A322D6" w:rsidRPr="00936457">
        <w:rPr>
          <w:rFonts w:cs="Times New Roman"/>
          <w:szCs w:val="24"/>
        </w:rPr>
        <w:t>-3-MF were 0.84ng/mL and 0.81, whereas the values for (+)-</w:t>
      </w:r>
      <w:proofErr w:type="gramStart"/>
      <w:r w:rsidR="00A322D6" w:rsidRPr="00936457">
        <w:rPr>
          <w:rFonts w:cs="Times New Roman"/>
          <w:i/>
          <w:szCs w:val="24"/>
        </w:rPr>
        <w:t>trans</w:t>
      </w:r>
      <w:r w:rsidR="00A322D6" w:rsidRPr="00936457">
        <w:rPr>
          <w:rFonts w:cs="Times New Roman"/>
          <w:szCs w:val="24"/>
        </w:rPr>
        <w:t>-</w:t>
      </w:r>
      <w:proofErr w:type="gramEnd"/>
      <w:r w:rsidR="00A322D6" w:rsidRPr="00936457">
        <w:rPr>
          <w:rFonts w:cs="Times New Roman"/>
          <w:szCs w:val="24"/>
        </w:rPr>
        <w:t>3-MF were o.6 ng/mL and 0.38 respectively. The findings proved that 3-MF had reappeared with 117 cases in Estonia containing the opioid as the only impairing substance. The chromatographic method demonstrated in this study effectively and accurately separated the (+)-</w:t>
      </w:r>
      <w:r w:rsidR="00A322D6" w:rsidRPr="00936457">
        <w:rPr>
          <w:rFonts w:cs="Times New Roman"/>
          <w:i/>
          <w:szCs w:val="24"/>
        </w:rPr>
        <w:t>cis</w:t>
      </w:r>
      <w:r w:rsidR="00A322D6" w:rsidRPr="00936457">
        <w:rPr>
          <w:rFonts w:cs="Times New Roman"/>
          <w:szCs w:val="24"/>
        </w:rPr>
        <w:t xml:space="preserve"> and (+)-</w:t>
      </w:r>
      <w:proofErr w:type="gramStart"/>
      <w:r w:rsidR="00A322D6" w:rsidRPr="00936457">
        <w:rPr>
          <w:rFonts w:cs="Times New Roman"/>
          <w:i/>
          <w:szCs w:val="24"/>
        </w:rPr>
        <w:t>trans</w:t>
      </w:r>
      <w:proofErr w:type="gramEnd"/>
      <w:r w:rsidR="00A322D6" w:rsidRPr="00936457">
        <w:rPr>
          <w:rFonts w:cs="Times New Roman"/>
          <w:szCs w:val="24"/>
        </w:rPr>
        <w:t xml:space="preserve"> isomers successfully. However, gas chromatography is very effective in separating both isomers fully. In the case where the </w:t>
      </w:r>
      <w:r w:rsidR="00A322D6" w:rsidRPr="00936457">
        <w:rPr>
          <w:rFonts w:cs="Times New Roman"/>
          <w:i/>
          <w:szCs w:val="24"/>
        </w:rPr>
        <w:t xml:space="preserve">cis </w:t>
      </w:r>
      <w:r w:rsidR="00A322D6" w:rsidRPr="00936457">
        <w:rPr>
          <w:rFonts w:cs="Times New Roman"/>
          <w:szCs w:val="24"/>
        </w:rPr>
        <w:t>and</w:t>
      </w:r>
      <w:r w:rsidR="00A322D6" w:rsidRPr="00936457">
        <w:rPr>
          <w:rFonts w:cs="Times New Roman"/>
          <w:i/>
          <w:szCs w:val="24"/>
        </w:rPr>
        <w:t xml:space="preserve"> </w:t>
      </w:r>
      <w:proofErr w:type="gramStart"/>
      <w:r w:rsidR="00A322D6" w:rsidRPr="00936457">
        <w:rPr>
          <w:rFonts w:cs="Times New Roman"/>
          <w:i/>
          <w:szCs w:val="24"/>
        </w:rPr>
        <w:t>trans</w:t>
      </w:r>
      <w:proofErr w:type="gramEnd"/>
      <w:r w:rsidR="00A322D6" w:rsidRPr="00936457">
        <w:rPr>
          <w:rFonts w:cs="Times New Roman"/>
          <w:i/>
          <w:szCs w:val="24"/>
        </w:rPr>
        <w:t xml:space="preserve"> </w:t>
      </w:r>
      <w:r w:rsidR="00A322D6" w:rsidRPr="00936457">
        <w:rPr>
          <w:rFonts w:cs="Times New Roman"/>
          <w:szCs w:val="24"/>
        </w:rPr>
        <w:t>isomers were not fully resolved before quantitation</w:t>
      </w:r>
      <w:r w:rsidR="00121494" w:rsidRPr="00936457">
        <w:rPr>
          <w:rFonts w:cs="Times New Roman"/>
          <w:szCs w:val="24"/>
        </w:rPr>
        <w:t xml:space="preserve">, the chromatography would have suffered resulting in partially resolution of </w:t>
      </w:r>
      <w:proofErr w:type="spellStart"/>
      <w:r w:rsidR="00121494" w:rsidRPr="00936457">
        <w:rPr>
          <w:rFonts w:cs="Times New Roman"/>
          <w:szCs w:val="24"/>
        </w:rPr>
        <w:t>diastereomers</w:t>
      </w:r>
      <w:proofErr w:type="spellEnd"/>
      <w:r w:rsidR="00121494" w:rsidRPr="00936457">
        <w:rPr>
          <w:rFonts w:cs="Times New Roman"/>
          <w:szCs w:val="24"/>
        </w:rPr>
        <w:t xml:space="preserve">. The method was not evaluated for ion suppression and enhancement due to lack of a complementary deuterated internal standard </w:t>
      </w:r>
      <w:sdt>
        <w:sdtPr>
          <w:rPr>
            <w:rFonts w:cs="Times New Roman"/>
            <w:szCs w:val="24"/>
          </w:rPr>
          <w:id w:val="-1147199766"/>
          <w:citation/>
        </w:sdtPr>
        <w:sdtContent>
          <w:r w:rsidR="00121494" w:rsidRPr="00936457">
            <w:rPr>
              <w:rFonts w:cs="Times New Roman"/>
              <w:szCs w:val="24"/>
            </w:rPr>
            <w:fldChar w:fldCharType="begin"/>
          </w:r>
          <w:r w:rsidR="00121494" w:rsidRPr="00936457">
            <w:rPr>
              <w:rFonts w:cs="Times New Roman"/>
              <w:szCs w:val="24"/>
            </w:rPr>
            <w:instrText xml:space="preserve"> CITATION Fog18 \l 1033 </w:instrText>
          </w:r>
          <w:r w:rsidR="00121494" w:rsidRPr="00936457">
            <w:rPr>
              <w:rFonts w:cs="Times New Roman"/>
              <w:szCs w:val="24"/>
            </w:rPr>
            <w:fldChar w:fldCharType="separate"/>
          </w:r>
          <w:r w:rsidR="00121494" w:rsidRPr="00936457">
            <w:rPr>
              <w:rFonts w:cs="Times New Roman"/>
              <w:noProof/>
              <w:szCs w:val="24"/>
            </w:rPr>
            <w:t>(Fogarty, Papsun, &amp; Logan, 2018)</w:t>
          </w:r>
          <w:r w:rsidR="00121494" w:rsidRPr="00936457">
            <w:rPr>
              <w:rFonts w:cs="Times New Roman"/>
              <w:szCs w:val="24"/>
            </w:rPr>
            <w:fldChar w:fldCharType="end"/>
          </w:r>
        </w:sdtContent>
      </w:sdt>
      <w:r w:rsidR="00121494" w:rsidRPr="00936457">
        <w:rPr>
          <w:rFonts w:cs="Times New Roman"/>
          <w:szCs w:val="24"/>
        </w:rPr>
        <w:t xml:space="preserve">. However, there is a strong agreement between the summed concentration reported by the method from the reference laboratory, which was evaluated for ion suppression and enhancement, and the concentrations determined by this method </w:t>
      </w:r>
      <w:sdt>
        <w:sdtPr>
          <w:rPr>
            <w:rFonts w:cs="Times New Roman"/>
            <w:szCs w:val="24"/>
          </w:rPr>
          <w:id w:val="-879172398"/>
          <w:citation/>
        </w:sdtPr>
        <w:sdtContent>
          <w:r w:rsidR="00121494" w:rsidRPr="00936457">
            <w:rPr>
              <w:rFonts w:cs="Times New Roman"/>
              <w:szCs w:val="24"/>
            </w:rPr>
            <w:fldChar w:fldCharType="begin"/>
          </w:r>
          <w:r w:rsidR="00121494" w:rsidRPr="00936457">
            <w:rPr>
              <w:rFonts w:cs="Times New Roman"/>
              <w:szCs w:val="24"/>
            </w:rPr>
            <w:instrText xml:space="preserve"> CITATION Fog18 \l 1033 </w:instrText>
          </w:r>
          <w:r w:rsidR="00121494" w:rsidRPr="00936457">
            <w:rPr>
              <w:rFonts w:cs="Times New Roman"/>
              <w:szCs w:val="24"/>
            </w:rPr>
            <w:fldChar w:fldCharType="separate"/>
          </w:r>
          <w:r w:rsidR="00121494" w:rsidRPr="00936457">
            <w:rPr>
              <w:rFonts w:cs="Times New Roman"/>
              <w:noProof/>
              <w:szCs w:val="24"/>
            </w:rPr>
            <w:t>(Fogarty, Papsun, &amp; Logan, 2018)</w:t>
          </w:r>
          <w:r w:rsidR="00121494" w:rsidRPr="00936457">
            <w:rPr>
              <w:rFonts w:cs="Times New Roman"/>
              <w:szCs w:val="24"/>
            </w:rPr>
            <w:fldChar w:fldCharType="end"/>
          </w:r>
        </w:sdtContent>
      </w:sdt>
      <w:r w:rsidR="00121494" w:rsidRPr="00936457">
        <w:rPr>
          <w:rFonts w:cs="Times New Roman"/>
          <w:szCs w:val="24"/>
        </w:rPr>
        <w:t xml:space="preserve">. This indicates that it is fundamental in screening analysis, and selective and sensitive quantitation of emerging circumstances. </w:t>
      </w:r>
    </w:p>
    <w:p w:rsidR="00A16A41" w:rsidRPr="00936457" w:rsidRDefault="00A16A41" w:rsidP="00A16A41">
      <w:pPr>
        <w:ind w:firstLine="720"/>
        <w:rPr>
          <w:rFonts w:cs="Times New Roman"/>
          <w:szCs w:val="24"/>
        </w:rPr>
      </w:pPr>
      <w:proofErr w:type="spellStart"/>
      <w:r w:rsidRPr="00936457">
        <w:rPr>
          <w:rFonts w:cs="Times New Roman"/>
          <w:szCs w:val="24"/>
        </w:rPr>
        <w:t>Salmi</w:t>
      </w:r>
      <w:proofErr w:type="spellEnd"/>
      <w:r w:rsidRPr="00936457">
        <w:rPr>
          <w:rFonts w:cs="Times New Roman"/>
          <w:szCs w:val="24"/>
        </w:rPr>
        <w:t xml:space="preserve"> and her team assess and evaluate the source of opioid contamination with lead metal. Symptoms of acute and chronic poisoning can arise from impurities found in narcotics. Opioids contamination is prevalent in the Middle Eastern communities where heavy metals are added to narcotics merely for profits derived from the added weight, but the metals used to increase the weight are source for opioids contamination which is toxic to consumers </w:t>
      </w:r>
      <w:sdt>
        <w:sdtPr>
          <w:rPr>
            <w:rFonts w:cs="Times New Roman"/>
            <w:szCs w:val="24"/>
          </w:rPr>
          <w:id w:val="-1362346960"/>
          <w:citation/>
        </w:sdtPr>
        <w:sdtContent>
          <w:r w:rsidRPr="00936457">
            <w:rPr>
              <w:rFonts w:cs="Times New Roman"/>
              <w:szCs w:val="24"/>
            </w:rPr>
            <w:fldChar w:fldCharType="begin"/>
          </w:r>
          <w:r w:rsidRPr="00936457">
            <w:rPr>
              <w:rFonts w:cs="Times New Roman"/>
              <w:szCs w:val="24"/>
            </w:rPr>
            <w:instrText xml:space="preserve"> CITATION Sal17 \l 1033 </w:instrText>
          </w:r>
          <w:r w:rsidRPr="00936457">
            <w:rPr>
              <w:rFonts w:cs="Times New Roman"/>
              <w:szCs w:val="24"/>
            </w:rPr>
            <w:fldChar w:fldCharType="separate"/>
          </w:r>
          <w:r w:rsidRPr="00936457">
            <w:rPr>
              <w:rFonts w:cs="Times New Roman"/>
              <w:noProof/>
              <w:szCs w:val="24"/>
            </w:rPr>
            <w:t xml:space="preserve">(Salimi </w:t>
          </w:r>
          <w:r w:rsidRPr="00936457">
            <w:rPr>
              <w:rFonts w:cs="Times New Roman"/>
              <w:noProof/>
              <w:szCs w:val="24"/>
            </w:rPr>
            <w:lastRenderedPageBreak/>
            <w:t>Asl, Assareh, Khodayar, &amp; Mousavi, 2017)</w:t>
          </w:r>
          <w:r w:rsidRPr="00936457">
            <w:rPr>
              <w:rFonts w:cs="Times New Roman"/>
              <w:szCs w:val="24"/>
            </w:rPr>
            <w:fldChar w:fldCharType="end"/>
          </w:r>
        </w:sdtContent>
      </w:sdt>
      <w:r w:rsidRPr="00936457">
        <w:rPr>
          <w:rFonts w:cs="Times New Roman"/>
          <w:szCs w:val="24"/>
        </w:rPr>
        <w:t>. The team found that the smugglers used lead in the production of opium for the stated benefits.</w:t>
      </w:r>
    </w:p>
    <w:p w:rsidR="00A16A41" w:rsidRPr="00936457" w:rsidRDefault="00A16A41" w:rsidP="00A16A41">
      <w:pPr>
        <w:ind w:firstLine="720"/>
        <w:rPr>
          <w:rFonts w:cs="Times New Roman"/>
          <w:szCs w:val="24"/>
        </w:rPr>
      </w:pPr>
      <w:r w:rsidRPr="00936457">
        <w:rPr>
          <w:rFonts w:cs="Times New Roman"/>
          <w:szCs w:val="24"/>
        </w:rPr>
        <w:t xml:space="preserve">Impurities can cause adverse etiological symptoms concurrent with toxic poisoning, for example, lead poisoning can be the result of narcotics with the constituent metal in their make-up. Iran is an example of such a country faced with the troubles associated with drug abuse and the societal problems accompanied with it. The </w:t>
      </w:r>
      <w:r w:rsidR="00B43460" w:rsidRPr="00936457">
        <w:rPr>
          <w:rFonts w:cs="Times New Roman"/>
          <w:szCs w:val="24"/>
        </w:rPr>
        <w:t xml:space="preserve">inclusion of lead in the constituent make-up of the narcotics serves to increase the weight of the products, and acts a fingerprint trace to the producer. Evaluations of symptoms associated with drug dependence also highlight the symptoms brought about by lead poisoning. With the prevalence of drug overdose fatalities in the country, drug poisoning is a keen consideration for forensic scientists. Impurities in the narcotics add to the existing high rates of fatalities caused by overdose. Therefore it is a fundamental point of focus to evaluate for identification and quantification of impurities, which serves to treat clinical toxicology for patients and proper pin-point evaluation of cause of death for victims </w:t>
      </w:r>
      <w:sdt>
        <w:sdtPr>
          <w:rPr>
            <w:rFonts w:cs="Times New Roman"/>
            <w:szCs w:val="24"/>
          </w:rPr>
          <w:id w:val="-1396274841"/>
          <w:citation/>
        </w:sdtPr>
        <w:sdtContent>
          <w:r w:rsidR="00B43460" w:rsidRPr="00936457">
            <w:rPr>
              <w:rFonts w:cs="Times New Roman"/>
              <w:szCs w:val="24"/>
            </w:rPr>
            <w:fldChar w:fldCharType="begin"/>
          </w:r>
          <w:r w:rsidR="00B43460" w:rsidRPr="00936457">
            <w:rPr>
              <w:rFonts w:cs="Times New Roman"/>
              <w:szCs w:val="24"/>
            </w:rPr>
            <w:instrText xml:space="preserve"> CITATION Sal17 \l 1033 </w:instrText>
          </w:r>
          <w:r w:rsidR="00B43460" w:rsidRPr="00936457">
            <w:rPr>
              <w:rFonts w:cs="Times New Roman"/>
              <w:szCs w:val="24"/>
            </w:rPr>
            <w:fldChar w:fldCharType="separate"/>
          </w:r>
          <w:r w:rsidR="00B43460" w:rsidRPr="00936457">
            <w:rPr>
              <w:rFonts w:cs="Times New Roman"/>
              <w:noProof/>
              <w:szCs w:val="24"/>
            </w:rPr>
            <w:t>(Salimi Asl, Assareh, Khodayar, &amp; Mousavi, 2017)</w:t>
          </w:r>
          <w:r w:rsidR="00B43460" w:rsidRPr="00936457">
            <w:rPr>
              <w:rFonts w:cs="Times New Roman"/>
              <w:szCs w:val="24"/>
            </w:rPr>
            <w:fldChar w:fldCharType="end"/>
          </w:r>
        </w:sdtContent>
      </w:sdt>
      <w:r w:rsidR="00B43460" w:rsidRPr="00936457">
        <w:rPr>
          <w:rFonts w:cs="Times New Roman"/>
          <w:szCs w:val="24"/>
        </w:rPr>
        <w:t xml:space="preserve">. Lead and arsenic are popular metal impurities adopted in the production of opium and heroin. </w:t>
      </w:r>
      <w:proofErr w:type="spellStart"/>
      <w:r w:rsidR="00B43460" w:rsidRPr="00936457">
        <w:rPr>
          <w:rFonts w:cs="Times New Roman"/>
          <w:szCs w:val="24"/>
        </w:rPr>
        <w:t>Salmi</w:t>
      </w:r>
      <w:proofErr w:type="spellEnd"/>
      <w:r w:rsidR="00B43460" w:rsidRPr="00936457">
        <w:rPr>
          <w:rFonts w:cs="Times New Roman"/>
          <w:szCs w:val="24"/>
        </w:rPr>
        <w:t xml:space="preserve"> aimed at the determination of cause of impurities for opium and the derivatives to lead heavy metal.</w:t>
      </w:r>
    </w:p>
    <w:p w:rsidR="00B43460" w:rsidRPr="00936457" w:rsidRDefault="0001033A" w:rsidP="00A16A41">
      <w:pPr>
        <w:ind w:firstLine="720"/>
        <w:rPr>
          <w:rFonts w:cs="Times New Roman"/>
          <w:szCs w:val="24"/>
        </w:rPr>
      </w:pPr>
      <w:r w:rsidRPr="00936457">
        <w:rPr>
          <w:rFonts w:cs="Times New Roman"/>
          <w:szCs w:val="24"/>
        </w:rPr>
        <w:t>Impurities in drugs are significant due to the complications that arise and the symptoms aforementioned. Heavy metals are probable impurities found in opium, besides pebbles, sand, starch, ash, and clay. T</w:t>
      </w:r>
      <w:r w:rsidRPr="00936457">
        <w:rPr>
          <w:rFonts w:cs="Times New Roman"/>
          <w:szCs w:val="24"/>
        </w:rPr>
        <w:t>here are a variety of methods to choose</w:t>
      </w:r>
      <w:r w:rsidRPr="00936457">
        <w:rPr>
          <w:rFonts w:cs="Times New Roman"/>
          <w:szCs w:val="24"/>
        </w:rPr>
        <w:t xml:space="preserve"> from in the aim of detecting presence of heavy metals in opium, but the flame atomic spectrometry approach is the most ease to execute, and has high levels of sensitivity and accuracy. The medical examinations and clinical reports from medical institutions in Iran indicated lead as a toxic derivative of opium </w:t>
      </w:r>
      <w:r w:rsidRPr="00936457">
        <w:rPr>
          <w:rFonts w:cs="Times New Roman"/>
          <w:szCs w:val="24"/>
        </w:rPr>
        <w:lastRenderedPageBreak/>
        <w:t xml:space="preserve">poisoning. The treatment approaches for opium addiction have proven ineffective in the treatment and detoxification of lead. </w:t>
      </w:r>
    </w:p>
    <w:p w:rsidR="00F25F63" w:rsidRPr="00936457" w:rsidRDefault="0001033A" w:rsidP="00A16A41">
      <w:pPr>
        <w:ind w:firstLine="720"/>
        <w:rPr>
          <w:rFonts w:cs="Times New Roman"/>
          <w:szCs w:val="24"/>
          <w:shd w:val="clear" w:color="auto" w:fill="FFFFFF"/>
        </w:rPr>
      </w:pPr>
      <w:r w:rsidRPr="00936457">
        <w:rPr>
          <w:rFonts w:cs="Times New Roman"/>
          <w:szCs w:val="24"/>
        </w:rPr>
        <w:t xml:space="preserve">A patient 25 year old male exhibited symptoms </w:t>
      </w:r>
      <w:r w:rsidR="00F25F63" w:rsidRPr="00936457">
        <w:rPr>
          <w:rFonts w:cs="Times New Roman"/>
          <w:szCs w:val="24"/>
        </w:rPr>
        <w:t>which surmised a suspicion of lead poisoning. The symptoms included abdominal pain, generalized bone pain, progressive nausea and vomiting, and jaundice in the eyes. The male patient had a history of oral intake and physical examination observed black pigmentation in the margin area of the gum. No observations were made concerning h</w:t>
      </w:r>
      <w:r w:rsidR="00F25F63" w:rsidRPr="00936457">
        <w:rPr>
          <w:rFonts w:cs="Times New Roman"/>
          <w:szCs w:val="24"/>
          <w:shd w:val="clear" w:color="auto" w:fill="FFFFFF"/>
        </w:rPr>
        <w:t>epatosplenomegaly and lymphatic anodipathy</w:t>
      </w:r>
      <w:r w:rsidR="00936457">
        <w:rPr>
          <w:rFonts w:cs="Times New Roman"/>
          <w:szCs w:val="24"/>
          <w:shd w:val="clear" w:color="auto" w:fill="FFFFFF"/>
        </w:rPr>
        <w:t xml:space="preserve"> </w:t>
      </w:r>
      <w:sdt>
        <w:sdtPr>
          <w:rPr>
            <w:rFonts w:cs="Times New Roman"/>
            <w:szCs w:val="24"/>
            <w:shd w:val="clear" w:color="auto" w:fill="FFFFFF"/>
          </w:rPr>
          <w:id w:val="-1985696499"/>
          <w:citation/>
        </w:sdtPr>
        <w:sdtContent>
          <w:r w:rsidR="00936457">
            <w:rPr>
              <w:rFonts w:cs="Times New Roman"/>
              <w:szCs w:val="24"/>
              <w:shd w:val="clear" w:color="auto" w:fill="FFFFFF"/>
            </w:rPr>
            <w:fldChar w:fldCharType="begin"/>
          </w:r>
          <w:r w:rsidR="00936457">
            <w:rPr>
              <w:rFonts w:cs="Times New Roman"/>
              <w:szCs w:val="24"/>
              <w:shd w:val="clear" w:color="auto" w:fill="FFFFFF"/>
            </w:rPr>
            <w:instrText xml:space="preserve"> CITATION Sal17 \l 1033 </w:instrText>
          </w:r>
          <w:r w:rsidR="00936457">
            <w:rPr>
              <w:rFonts w:cs="Times New Roman"/>
              <w:szCs w:val="24"/>
              <w:shd w:val="clear" w:color="auto" w:fill="FFFFFF"/>
            </w:rPr>
            <w:fldChar w:fldCharType="separate"/>
          </w:r>
          <w:r w:rsidR="00936457" w:rsidRPr="00936457">
            <w:rPr>
              <w:rFonts w:cs="Times New Roman"/>
              <w:noProof/>
              <w:szCs w:val="24"/>
              <w:shd w:val="clear" w:color="auto" w:fill="FFFFFF"/>
            </w:rPr>
            <w:t>(Salimi Asl, Assareh, Khodayar, &amp; Mousavi, 2017)</w:t>
          </w:r>
          <w:r w:rsidR="00936457">
            <w:rPr>
              <w:rFonts w:cs="Times New Roman"/>
              <w:szCs w:val="24"/>
              <w:shd w:val="clear" w:color="auto" w:fill="FFFFFF"/>
            </w:rPr>
            <w:fldChar w:fldCharType="end"/>
          </w:r>
        </w:sdtContent>
      </w:sdt>
      <w:r w:rsidR="00F25F63" w:rsidRPr="00936457">
        <w:rPr>
          <w:rFonts w:cs="Times New Roman"/>
          <w:szCs w:val="24"/>
          <w:shd w:val="clear" w:color="auto" w:fill="FFFFFF"/>
        </w:rPr>
        <w:t xml:space="preserve">. </w:t>
      </w:r>
    </w:p>
    <w:p w:rsidR="00E94ECD" w:rsidRPr="00EC1C4B" w:rsidRDefault="00E43E19" w:rsidP="00EC1C4B">
      <w:pPr>
        <w:ind w:firstLine="720"/>
        <w:rPr>
          <w:rFonts w:cs="Times New Roman"/>
          <w:szCs w:val="24"/>
          <w:shd w:val="clear" w:color="auto" w:fill="FFFFFF"/>
        </w:rPr>
      </w:pPr>
      <w:r w:rsidRPr="00936457">
        <w:rPr>
          <w:rFonts w:cs="Times New Roman"/>
          <w:szCs w:val="24"/>
          <w:shd w:val="clear" w:color="auto" w:fill="FFFFFF"/>
        </w:rPr>
        <w:t xml:space="preserve">Endoscopic examinations reported the case of gastrointestinal tract. </w:t>
      </w:r>
      <w:r w:rsidR="00F25F63" w:rsidRPr="00936457">
        <w:rPr>
          <w:rFonts w:cs="Times New Roman"/>
          <w:szCs w:val="24"/>
          <w:shd w:val="clear" w:color="auto" w:fill="FFFFFF"/>
        </w:rPr>
        <w:t xml:space="preserve">Liver aminotransferases and bilirubin increased despite a normal level of alkaline phosphates. The blood tests reported presence of hemolytic anemia, and non-immune anemia. The blood tests came back negative for direct and indirect coombs. BMA and BMB reported presence of erythroid hyperplasia, and the patient presented 6 year history </w:t>
      </w:r>
      <w:proofErr w:type="spellStart"/>
      <w:r w:rsidR="00F25F63" w:rsidRPr="00936457">
        <w:rPr>
          <w:rFonts w:cs="Times New Roman"/>
          <w:szCs w:val="24"/>
          <w:shd w:val="clear" w:color="auto" w:fill="FFFFFF"/>
        </w:rPr>
        <w:t>o</w:t>
      </w:r>
      <w:proofErr w:type="spellEnd"/>
      <w:r w:rsidR="00F25F63" w:rsidRPr="00936457">
        <w:rPr>
          <w:rFonts w:cs="Times New Roman"/>
          <w:szCs w:val="24"/>
          <w:shd w:val="clear" w:color="auto" w:fill="FFFFFF"/>
        </w:rPr>
        <w:t xml:space="preserve"> smoking opium. With regards to thes</w:t>
      </w:r>
      <w:r w:rsidRPr="00936457">
        <w:rPr>
          <w:rFonts w:cs="Times New Roman"/>
          <w:szCs w:val="24"/>
          <w:shd w:val="clear" w:color="auto" w:fill="FFFFFF"/>
        </w:rPr>
        <w:t>e series of symptoms and results</w:t>
      </w:r>
      <w:r w:rsidR="00F25F63" w:rsidRPr="00936457">
        <w:rPr>
          <w:rFonts w:cs="Times New Roman"/>
          <w:szCs w:val="24"/>
          <w:shd w:val="clear" w:color="auto" w:fill="FFFFFF"/>
        </w:rPr>
        <w:t xml:space="preserve">, </w:t>
      </w:r>
      <w:r w:rsidRPr="00936457">
        <w:rPr>
          <w:rFonts w:cs="Times New Roman"/>
          <w:szCs w:val="24"/>
          <w:shd w:val="clear" w:color="auto" w:fill="FFFFFF"/>
        </w:rPr>
        <w:t xml:space="preserve">the physicians developed </w:t>
      </w:r>
      <w:r w:rsidR="00F25F63" w:rsidRPr="00936457">
        <w:rPr>
          <w:rFonts w:cs="Times New Roman"/>
          <w:szCs w:val="24"/>
          <w:shd w:val="clear" w:color="auto" w:fill="FFFFFF"/>
        </w:rPr>
        <w:t>suspicion of lead poisoning</w:t>
      </w:r>
      <w:r w:rsidRPr="00936457">
        <w:rPr>
          <w:rFonts w:cs="Times New Roman"/>
          <w:szCs w:val="24"/>
          <w:shd w:val="clear" w:color="auto" w:fill="FFFFFF"/>
        </w:rPr>
        <w:t xml:space="preserve">. Test for lead poisoning showed a concentration of 350mg/dl, which proves their hypothesis. </w:t>
      </w:r>
      <w:r w:rsidR="00936457">
        <w:rPr>
          <w:rFonts w:cs="Times New Roman"/>
          <w:szCs w:val="24"/>
          <w:shd w:val="clear" w:color="auto" w:fill="FFFFFF"/>
        </w:rPr>
        <w:t xml:space="preserve">The findings also relate too high levels of drug abuse </w:t>
      </w:r>
      <w:sdt>
        <w:sdtPr>
          <w:rPr>
            <w:rFonts w:cs="Times New Roman"/>
            <w:szCs w:val="24"/>
            <w:shd w:val="clear" w:color="auto" w:fill="FFFFFF"/>
          </w:rPr>
          <w:id w:val="-1667086013"/>
          <w:citation/>
        </w:sdtPr>
        <w:sdtContent>
          <w:r w:rsidR="00936457">
            <w:rPr>
              <w:rFonts w:cs="Times New Roman"/>
              <w:szCs w:val="24"/>
              <w:shd w:val="clear" w:color="auto" w:fill="FFFFFF"/>
            </w:rPr>
            <w:fldChar w:fldCharType="begin"/>
          </w:r>
          <w:r w:rsidR="00936457">
            <w:rPr>
              <w:rFonts w:cs="Times New Roman"/>
              <w:szCs w:val="24"/>
              <w:shd w:val="clear" w:color="auto" w:fill="FFFFFF"/>
            </w:rPr>
            <w:instrText xml:space="preserve"> CITATION Sal17 \l 1033 </w:instrText>
          </w:r>
          <w:r w:rsidR="00936457">
            <w:rPr>
              <w:rFonts w:cs="Times New Roman"/>
              <w:szCs w:val="24"/>
              <w:shd w:val="clear" w:color="auto" w:fill="FFFFFF"/>
            </w:rPr>
            <w:fldChar w:fldCharType="separate"/>
          </w:r>
          <w:r w:rsidR="00936457" w:rsidRPr="00936457">
            <w:rPr>
              <w:rFonts w:cs="Times New Roman"/>
              <w:noProof/>
              <w:szCs w:val="24"/>
              <w:shd w:val="clear" w:color="auto" w:fill="FFFFFF"/>
            </w:rPr>
            <w:t>(Salimi Asl, Assareh, Khodayar, &amp; Mousavi, 2017)</w:t>
          </w:r>
          <w:r w:rsidR="00936457">
            <w:rPr>
              <w:rFonts w:cs="Times New Roman"/>
              <w:szCs w:val="24"/>
              <w:shd w:val="clear" w:color="auto" w:fill="FFFFFF"/>
            </w:rPr>
            <w:fldChar w:fldCharType="end"/>
          </w:r>
        </w:sdtContent>
      </w:sdt>
      <w:r w:rsidR="00936457">
        <w:rPr>
          <w:rFonts w:cs="Times New Roman"/>
          <w:szCs w:val="24"/>
          <w:shd w:val="clear" w:color="auto" w:fill="FFFFFF"/>
        </w:rPr>
        <w:t xml:space="preserve">. Similar cases were reported with the same findings just differing in the concentration of the toxins. </w:t>
      </w:r>
      <w:r w:rsidR="00E94ECD">
        <w:rPr>
          <w:rFonts w:cs="Times New Roman"/>
          <w:szCs w:val="24"/>
        </w:rPr>
        <w:br w:type="page"/>
      </w:r>
    </w:p>
    <w:sdt>
      <w:sdtPr>
        <w:id w:val="-35935914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E94ECD" w:rsidRPr="00E94ECD" w:rsidRDefault="00E94ECD" w:rsidP="00E94ECD">
          <w:pPr>
            <w:pStyle w:val="Heading1"/>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E94ECD" w:rsidRPr="00E94ECD" w:rsidRDefault="00E94ECD" w:rsidP="00E94ECD">
              <w:pPr>
                <w:pStyle w:val="Bibliography"/>
                <w:ind w:left="720" w:hanging="720"/>
                <w:rPr>
                  <w:noProof/>
                </w:rPr>
              </w:pPr>
              <w:r w:rsidRPr="00E94ECD">
                <w:fldChar w:fldCharType="begin"/>
              </w:r>
              <w:r w:rsidRPr="00E94ECD">
                <w:instrText xml:space="preserve"> BIBLIOGRAPHY </w:instrText>
              </w:r>
              <w:r w:rsidRPr="00E94ECD">
                <w:fldChar w:fldCharType="separate"/>
              </w:r>
              <w:r w:rsidRPr="00E94ECD">
                <w:rPr>
                  <w:noProof/>
                </w:rPr>
                <w:t xml:space="preserve">Barbera, N., Montana, r. I., Arbouche, N., &amp; Romano, G. (2016). Domino effect: an unusual case of six fatal hydrogen sulfide poisonings in quick succession. </w:t>
              </w:r>
              <w:r w:rsidRPr="00E94ECD">
                <w:rPr>
                  <w:i/>
                  <w:iCs/>
                  <w:noProof/>
                </w:rPr>
                <w:t>Forensic science international, 260</w:t>
              </w:r>
              <w:r w:rsidRPr="00E94ECD">
                <w:rPr>
                  <w:noProof/>
                </w:rPr>
                <w:t>, e7-e10. doi:https://doi.org/10.1016/j.forsciint.2016.01.021</w:t>
              </w:r>
            </w:p>
            <w:p w:rsidR="00E94ECD" w:rsidRPr="00E94ECD" w:rsidRDefault="00E94ECD" w:rsidP="00E94ECD">
              <w:pPr>
                <w:pStyle w:val="Bibliography"/>
                <w:ind w:left="720" w:hanging="720"/>
                <w:rPr>
                  <w:noProof/>
                </w:rPr>
              </w:pPr>
              <w:r w:rsidRPr="00E94ECD">
                <w:rPr>
                  <w:noProof/>
                </w:rPr>
                <w:t xml:space="preserve">Cippitelli, M., Mirtella, D., Ottaviani, G., Tassoni, G., Froldi, R., &amp; Cingolani, M. (2018). Toxicological analysis of opiates from alternative matrices collected from an exhumed body. </w:t>
              </w:r>
              <w:r w:rsidRPr="00E94ECD">
                <w:rPr>
                  <w:i/>
                  <w:iCs/>
                  <w:noProof/>
                </w:rPr>
                <w:t>Journal of forensic sciences, 63</w:t>
              </w:r>
              <w:r w:rsidRPr="00E94ECD">
                <w:rPr>
                  <w:noProof/>
                </w:rPr>
                <w:t>(2), 640-643. doi:https://doi.org/10.1111/1556-4029.13559</w:t>
              </w:r>
            </w:p>
            <w:p w:rsidR="00E94ECD" w:rsidRPr="00E94ECD" w:rsidRDefault="00E94ECD" w:rsidP="00E94ECD">
              <w:pPr>
                <w:pStyle w:val="Bibliography"/>
                <w:ind w:left="720" w:hanging="720"/>
                <w:rPr>
                  <w:noProof/>
                </w:rPr>
              </w:pPr>
              <w:r w:rsidRPr="00E94ECD">
                <w:rPr>
                  <w:noProof/>
                </w:rPr>
                <w:t xml:space="preserve">Fogarty, M. F., Papsun, D. M., &amp; Logan, B. K. (2018). Analysis of cis and trans 3‐methylfentanyl by liquid chromatography–high resolution mass spectrometry and findings in forensic toxicology casework. </w:t>
              </w:r>
              <w:r w:rsidRPr="00E94ECD">
                <w:rPr>
                  <w:i/>
                  <w:iCs/>
                  <w:noProof/>
                </w:rPr>
                <w:t>Drug testing and analysis, 10</w:t>
              </w:r>
              <w:r w:rsidRPr="00E94ECD">
                <w:rPr>
                  <w:noProof/>
                </w:rPr>
                <w:t>(9), 1474-1482. doi:https://doi.org/10.1002/dta.2414</w:t>
              </w:r>
            </w:p>
            <w:p w:rsidR="00E94ECD" w:rsidRPr="00E94ECD" w:rsidRDefault="00E94ECD" w:rsidP="00E94ECD">
              <w:pPr>
                <w:pStyle w:val="Bibliography"/>
                <w:ind w:left="720" w:hanging="720"/>
                <w:rPr>
                  <w:noProof/>
                </w:rPr>
              </w:pPr>
              <w:r w:rsidRPr="00E94ECD">
                <w:rPr>
                  <w:noProof/>
                </w:rPr>
                <w:t xml:space="preserve">Hess, C., Sydow, K., Kueting, T., Kraemer, M., &amp; Maas, A. (2018). Considerations regarding the validation of chromatographic mass spectrometric methods for the quantification of endogenous substances in forensics. </w:t>
              </w:r>
              <w:r w:rsidRPr="00E94ECD">
                <w:rPr>
                  <w:i/>
                  <w:iCs/>
                  <w:noProof/>
                </w:rPr>
                <w:t>Forensic science international, 283</w:t>
              </w:r>
              <w:r w:rsidRPr="00E94ECD">
                <w:rPr>
                  <w:noProof/>
                </w:rPr>
                <w:t xml:space="preserve">, 150-155. doi:10.1016/j.forsciint.2017.12.019 </w:t>
              </w:r>
            </w:p>
            <w:p w:rsidR="00E94ECD" w:rsidRPr="00E94ECD" w:rsidRDefault="00E94ECD" w:rsidP="00E94ECD">
              <w:pPr>
                <w:pStyle w:val="Bibliography"/>
                <w:ind w:left="720" w:hanging="720"/>
                <w:rPr>
                  <w:noProof/>
                </w:rPr>
              </w:pPr>
              <w:r w:rsidRPr="00E94ECD">
                <w:rPr>
                  <w:noProof/>
                </w:rPr>
                <w:t xml:space="preserve">Pan, M., Wang, X., Zhao, Y., Liu, W., &amp; Xiang, P. (2019). "A retrospective analysis of data from forensic toxicology at the Academy of Forensic Science in 2017.". </w:t>
              </w:r>
              <w:r w:rsidRPr="00E94ECD">
                <w:rPr>
                  <w:i/>
                  <w:iCs/>
                  <w:noProof/>
                </w:rPr>
                <w:t>Forensic science international, 298</w:t>
              </w:r>
              <w:r w:rsidRPr="00E94ECD">
                <w:rPr>
                  <w:noProof/>
                </w:rPr>
                <w:t>, 39-47. doi:https://doi.org/10.1016/j.forsciint.2019.02.039</w:t>
              </w:r>
            </w:p>
            <w:p w:rsidR="00E94ECD" w:rsidRPr="00E94ECD" w:rsidRDefault="00E94ECD" w:rsidP="00E94ECD">
              <w:pPr>
                <w:pStyle w:val="Bibliography"/>
                <w:ind w:left="720" w:hanging="720"/>
                <w:rPr>
                  <w:noProof/>
                </w:rPr>
              </w:pPr>
              <w:r w:rsidRPr="00E94ECD">
                <w:rPr>
                  <w:noProof/>
                </w:rPr>
                <w:t xml:space="preserve">Peters, F. T., Wissenbach, D. K., Busardo, F. P., Marchei, E., &amp; Pichini, S. (2017). Method development in forensic toxicology. </w:t>
              </w:r>
              <w:r w:rsidRPr="00E94ECD">
                <w:rPr>
                  <w:i/>
                  <w:iCs/>
                  <w:noProof/>
                </w:rPr>
                <w:t>Current pharmaceutical design, 23</w:t>
              </w:r>
              <w:r w:rsidRPr="00E94ECD">
                <w:rPr>
                  <w:noProof/>
                </w:rPr>
                <w:t>(36), 5455-5467. doi:10.2174/1381612823666170622113331</w:t>
              </w:r>
            </w:p>
            <w:p w:rsidR="00E94ECD" w:rsidRPr="00E94ECD" w:rsidRDefault="00E94ECD" w:rsidP="00E94ECD">
              <w:pPr>
                <w:pStyle w:val="Bibliography"/>
                <w:ind w:left="720" w:hanging="720"/>
                <w:rPr>
                  <w:noProof/>
                </w:rPr>
              </w:pPr>
              <w:r w:rsidRPr="00E94ECD">
                <w:rPr>
                  <w:noProof/>
                </w:rPr>
                <w:lastRenderedPageBreak/>
                <w:t xml:space="preserve">Salimi Asl, S., Assareh, M., Khodayar, M., &amp; Mousavi, Z. (2017). Investigating the Source of Contamination Opioid into Lead in Forensic Medicine. </w:t>
              </w:r>
              <w:r w:rsidRPr="00E94ECD">
                <w:rPr>
                  <w:i/>
                  <w:iCs/>
                  <w:noProof/>
                </w:rPr>
                <w:t>Journal of Heavy Metal Toxicity and Diseases, 2</w:t>
              </w:r>
              <w:r w:rsidRPr="00E94ECD">
                <w:rPr>
                  <w:noProof/>
                </w:rPr>
                <w:t>(2), 4.</w:t>
              </w:r>
            </w:p>
            <w:p w:rsidR="00E94ECD" w:rsidRDefault="00E94ECD" w:rsidP="00E94ECD">
              <w:r w:rsidRPr="00E94ECD">
                <w:rPr>
                  <w:b/>
                  <w:bCs/>
                  <w:noProof/>
                </w:rPr>
                <w:fldChar w:fldCharType="end"/>
              </w:r>
            </w:p>
          </w:sdtContent>
        </w:sdt>
      </w:sdtContent>
    </w:sdt>
    <w:p w:rsidR="00F32222" w:rsidRPr="00936457" w:rsidRDefault="00F32222" w:rsidP="00341066">
      <w:pPr>
        <w:ind w:firstLine="720"/>
        <w:rPr>
          <w:rFonts w:cs="Times New Roman"/>
          <w:szCs w:val="24"/>
        </w:rPr>
      </w:pPr>
    </w:p>
    <w:sectPr w:rsidR="00F32222" w:rsidRPr="00936457" w:rsidSect="00E94EC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173" w:rsidRDefault="00315173" w:rsidP="00E94ECD">
      <w:pPr>
        <w:spacing w:after="0" w:line="240" w:lineRule="auto"/>
      </w:pPr>
      <w:r>
        <w:separator/>
      </w:r>
    </w:p>
  </w:endnote>
  <w:endnote w:type="continuationSeparator" w:id="0">
    <w:p w:rsidR="00315173" w:rsidRDefault="00315173" w:rsidP="00E9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173" w:rsidRDefault="00315173" w:rsidP="00E94ECD">
      <w:pPr>
        <w:spacing w:after="0" w:line="240" w:lineRule="auto"/>
      </w:pPr>
      <w:r>
        <w:separator/>
      </w:r>
    </w:p>
  </w:footnote>
  <w:footnote w:type="continuationSeparator" w:id="0">
    <w:p w:rsidR="00315173" w:rsidRDefault="00315173" w:rsidP="00E94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ECD" w:rsidRDefault="00EC1C4B">
    <w:pPr>
      <w:pStyle w:val="Header"/>
      <w:jc w:val="right"/>
    </w:pPr>
    <w:r>
      <w:t>FORENSIC TOXICOLOGY</w:t>
    </w:r>
    <w:r>
      <w:tab/>
    </w:r>
    <w:r>
      <w:tab/>
    </w:r>
    <w:sdt>
      <w:sdtPr>
        <w:id w:val="267749350"/>
        <w:docPartObj>
          <w:docPartGallery w:val="Page Numbers (Top of Page)"/>
          <w:docPartUnique/>
        </w:docPartObj>
      </w:sdtPr>
      <w:sdtEndPr>
        <w:rPr>
          <w:noProof/>
        </w:rPr>
      </w:sdtEndPr>
      <w:sdtContent>
        <w:r w:rsidR="00E94ECD">
          <w:fldChar w:fldCharType="begin"/>
        </w:r>
        <w:r w:rsidR="00E94ECD">
          <w:instrText xml:space="preserve"> PAGE   \* MERGEFORMAT </w:instrText>
        </w:r>
        <w:r w:rsidR="00E94ECD">
          <w:fldChar w:fldCharType="separate"/>
        </w:r>
        <w:r w:rsidR="009A1631">
          <w:rPr>
            <w:noProof/>
          </w:rPr>
          <w:t>9</w:t>
        </w:r>
        <w:r w:rsidR="00E94ECD">
          <w:rPr>
            <w:noProof/>
          </w:rPr>
          <w:fldChar w:fldCharType="end"/>
        </w:r>
      </w:sdtContent>
    </w:sdt>
  </w:p>
  <w:p w:rsidR="00E94ECD" w:rsidRDefault="00E94E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1C4B" w:rsidRDefault="00EC1C4B">
    <w:pPr>
      <w:pStyle w:val="Header"/>
      <w:jc w:val="right"/>
    </w:pPr>
    <w:r>
      <w:t xml:space="preserve">Running Head: </w:t>
    </w:r>
    <w:r>
      <w:t>FORENSIC TOXICOLOGY</w:t>
    </w:r>
    <w:r>
      <w:t xml:space="preserve"> </w:t>
    </w:r>
    <w:r>
      <w:tab/>
    </w:r>
    <w:r>
      <w:tab/>
    </w:r>
    <w:sdt>
      <w:sdtPr>
        <w:id w:val="8876129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B639A">
          <w:rPr>
            <w:noProof/>
          </w:rPr>
          <w:t>1</w:t>
        </w:r>
        <w:r>
          <w:rPr>
            <w:noProof/>
          </w:rPr>
          <w:fldChar w:fldCharType="end"/>
        </w:r>
      </w:sdtContent>
    </w:sdt>
  </w:p>
  <w:p w:rsidR="00E94ECD" w:rsidRDefault="00E94E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AF"/>
    <w:rsid w:val="0001033A"/>
    <w:rsid w:val="000E4FCD"/>
    <w:rsid w:val="000F112F"/>
    <w:rsid w:val="00121494"/>
    <w:rsid w:val="00132FC3"/>
    <w:rsid w:val="001D1CB5"/>
    <w:rsid w:val="002112A9"/>
    <w:rsid w:val="00227831"/>
    <w:rsid w:val="002D325D"/>
    <w:rsid w:val="00315173"/>
    <w:rsid w:val="00335B1D"/>
    <w:rsid w:val="00341066"/>
    <w:rsid w:val="0035110C"/>
    <w:rsid w:val="003838E7"/>
    <w:rsid w:val="003C1618"/>
    <w:rsid w:val="003E3B7A"/>
    <w:rsid w:val="00404DDA"/>
    <w:rsid w:val="004D2ECF"/>
    <w:rsid w:val="004D3AD2"/>
    <w:rsid w:val="004F40B1"/>
    <w:rsid w:val="00513C96"/>
    <w:rsid w:val="005366CC"/>
    <w:rsid w:val="00576B44"/>
    <w:rsid w:val="005A4BD0"/>
    <w:rsid w:val="005B639A"/>
    <w:rsid w:val="005C2120"/>
    <w:rsid w:val="005E09CC"/>
    <w:rsid w:val="005E5538"/>
    <w:rsid w:val="00615601"/>
    <w:rsid w:val="00685C8E"/>
    <w:rsid w:val="006E6D27"/>
    <w:rsid w:val="0071531F"/>
    <w:rsid w:val="007824BA"/>
    <w:rsid w:val="007C0C5A"/>
    <w:rsid w:val="008756F3"/>
    <w:rsid w:val="008D5BA2"/>
    <w:rsid w:val="008E38BD"/>
    <w:rsid w:val="009245F0"/>
    <w:rsid w:val="0093389C"/>
    <w:rsid w:val="00936457"/>
    <w:rsid w:val="00964241"/>
    <w:rsid w:val="009A1631"/>
    <w:rsid w:val="00A16A41"/>
    <w:rsid w:val="00A322D6"/>
    <w:rsid w:val="00A807EC"/>
    <w:rsid w:val="00B43460"/>
    <w:rsid w:val="00BD6B14"/>
    <w:rsid w:val="00C13868"/>
    <w:rsid w:val="00C3777E"/>
    <w:rsid w:val="00CD110A"/>
    <w:rsid w:val="00D113BC"/>
    <w:rsid w:val="00E014AF"/>
    <w:rsid w:val="00E43E19"/>
    <w:rsid w:val="00E8418E"/>
    <w:rsid w:val="00E94ECD"/>
    <w:rsid w:val="00EC1C4B"/>
    <w:rsid w:val="00EC5D22"/>
    <w:rsid w:val="00EE5B67"/>
    <w:rsid w:val="00F25F63"/>
    <w:rsid w:val="00F32222"/>
    <w:rsid w:val="00F460C8"/>
    <w:rsid w:val="00FC60A2"/>
    <w:rsid w:val="00FD5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424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24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64241"/>
  </w:style>
  <w:style w:type="paragraph" w:styleId="BalloonText">
    <w:name w:val="Balloon Text"/>
    <w:basedOn w:val="Normal"/>
    <w:link w:val="BalloonTextChar"/>
    <w:uiPriority w:val="99"/>
    <w:semiHidden/>
    <w:unhideWhenUsed/>
    <w:rsid w:val="00964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241"/>
    <w:rPr>
      <w:rFonts w:ascii="Tahoma" w:hAnsi="Tahoma" w:cs="Tahoma"/>
      <w:sz w:val="16"/>
      <w:szCs w:val="16"/>
    </w:rPr>
  </w:style>
  <w:style w:type="paragraph" w:styleId="Header">
    <w:name w:val="header"/>
    <w:basedOn w:val="Normal"/>
    <w:link w:val="HeaderChar"/>
    <w:uiPriority w:val="99"/>
    <w:unhideWhenUsed/>
    <w:rsid w:val="00E94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ECD"/>
  </w:style>
  <w:style w:type="paragraph" w:styleId="Footer">
    <w:name w:val="footer"/>
    <w:basedOn w:val="Normal"/>
    <w:link w:val="FooterChar"/>
    <w:uiPriority w:val="99"/>
    <w:unhideWhenUsed/>
    <w:rsid w:val="00E94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E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6424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24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64241"/>
  </w:style>
  <w:style w:type="paragraph" w:styleId="BalloonText">
    <w:name w:val="Balloon Text"/>
    <w:basedOn w:val="Normal"/>
    <w:link w:val="BalloonTextChar"/>
    <w:uiPriority w:val="99"/>
    <w:semiHidden/>
    <w:unhideWhenUsed/>
    <w:rsid w:val="009642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4241"/>
    <w:rPr>
      <w:rFonts w:ascii="Tahoma" w:hAnsi="Tahoma" w:cs="Tahoma"/>
      <w:sz w:val="16"/>
      <w:szCs w:val="16"/>
    </w:rPr>
  </w:style>
  <w:style w:type="paragraph" w:styleId="Header">
    <w:name w:val="header"/>
    <w:basedOn w:val="Normal"/>
    <w:link w:val="HeaderChar"/>
    <w:uiPriority w:val="99"/>
    <w:unhideWhenUsed/>
    <w:rsid w:val="00E94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ECD"/>
  </w:style>
  <w:style w:type="paragraph" w:styleId="Footer">
    <w:name w:val="footer"/>
    <w:basedOn w:val="Normal"/>
    <w:link w:val="FooterChar"/>
    <w:uiPriority w:val="99"/>
    <w:unhideWhenUsed/>
    <w:rsid w:val="00E94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953477">
      <w:bodyDiv w:val="1"/>
      <w:marLeft w:val="0"/>
      <w:marRight w:val="0"/>
      <w:marTop w:val="0"/>
      <w:marBottom w:val="0"/>
      <w:divBdr>
        <w:top w:val="none" w:sz="0" w:space="0" w:color="auto"/>
        <w:left w:val="none" w:sz="0" w:space="0" w:color="auto"/>
        <w:bottom w:val="none" w:sz="0" w:space="0" w:color="auto"/>
        <w:right w:val="none" w:sz="0" w:space="0" w:color="auto"/>
      </w:divBdr>
    </w:div>
    <w:div w:id="1500659482">
      <w:bodyDiv w:val="1"/>
      <w:marLeft w:val="0"/>
      <w:marRight w:val="0"/>
      <w:marTop w:val="0"/>
      <w:marBottom w:val="0"/>
      <w:divBdr>
        <w:top w:val="none" w:sz="0" w:space="0" w:color="auto"/>
        <w:left w:val="none" w:sz="0" w:space="0" w:color="auto"/>
        <w:bottom w:val="none" w:sz="0" w:space="0" w:color="auto"/>
        <w:right w:val="none" w:sz="0" w:space="0" w:color="auto"/>
      </w:divBdr>
    </w:div>
    <w:div w:id="183136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Hes18</b:Tag>
    <b:SourceType>JournalArticle</b:SourceType>
    <b:Guid>{25F829F6-CB1C-475A-BC23-18B57F299084}</b:Guid>
    <b:Title>Considerations regarding the validation of chromatographic mass spectrometric methods for the quantification of endogenous substances in forensics.</b:Title>
    <b:JournalName>Forensic science international</b:JournalName>
    <b:Year>2018</b:Year>
    <b:Pages>150-155</b:Pages>
    <b:Author>
      <b:Author>
        <b:NameList>
          <b:Person>
            <b:Last>Hess</b:Last>
            <b:First>Cornelius</b:First>
          </b:Person>
          <b:Person>
            <b:Last>Sydow</b:Last>
            <b:First>Konrad</b:First>
          </b:Person>
          <b:Person>
            <b:Last>Kueting</b:Last>
            <b:First>Theresa</b:First>
          </b:Person>
          <b:Person>
            <b:Last>Kraemer</b:Last>
            <b:First>Micheal</b:First>
          </b:Person>
          <b:Person>
            <b:Last>Maas</b:Last>
            <b:First>Alexandra</b:First>
          </b:Person>
        </b:NameList>
      </b:Author>
    </b:Author>
    <b:Volume>283</b:Volume>
    <b:DOI>10.1016/j.forsciint.2017.12.019 </b:DOI>
    <b:RefOrder>3</b:RefOrder>
  </b:Source>
  <b:Source>
    <b:Tag>Cip18</b:Tag>
    <b:SourceType>JournalArticle</b:SourceType>
    <b:Guid>{976340CE-9887-4901-9514-92C018326FE2}</b:Guid>
    <b:Title>Toxicological analysis of opiates from alternative matrices collected from an exhumed body.</b:Title>
    <b:JournalName>Journal of forensic sciences</b:JournalName>
    <b:Year>2018</b:Year>
    <b:Pages>640-643</b:Pages>
    <b:Author>
      <b:Author>
        <b:NameList>
          <b:Person>
            <b:Last>Cippitelli</b:Last>
            <b:First>Marta</b:First>
          </b:Person>
          <b:Person>
            <b:Last>Mirtella</b:Last>
            <b:First>Dora</b:First>
          </b:Person>
          <b:Person>
            <b:Last>Ottaviani</b:Last>
            <b:First>Giovanni</b:First>
          </b:Person>
          <b:Person>
            <b:Last>Tassoni</b:Last>
            <b:First>Giovanna</b:First>
          </b:Person>
          <b:Person>
            <b:Last>Froldi</b:Last>
            <b:First>Rino</b:First>
          </b:Person>
          <b:Person>
            <b:Last>Cingolani</b:Last>
            <b:First>Mariano</b:First>
          </b:Person>
        </b:NameList>
      </b:Author>
    </b:Author>
    <b:Volume>63</b:Volume>
    <b:Issue>2</b:Issue>
    <b:DOI>https://doi.org/10.1111/1556-4029.13559</b:DOI>
    <b:RefOrder>2</b:RefOrder>
  </b:Source>
  <b:Source>
    <b:Tag>Fog18</b:Tag>
    <b:SourceType>JournalArticle</b:SourceType>
    <b:Guid>{62A965DF-F104-4F36-86B8-BE56C2978EE4}</b:Guid>
    <b:Title>Analysis of cis and trans 3‐methylfentanyl by liquid chromatography–high resolution mass spectrometry and findings in forensic toxicology casework.</b:Title>
    <b:JournalName>Drug testing and analysis</b:JournalName>
    <b:Year>2018</b:Year>
    <b:Pages>1474-1482</b:Pages>
    <b:Author>
      <b:Author>
        <b:NameList>
          <b:Person>
            <b:Last>Fogarty</b:Last>
            <b:Middle>F.</b:Middle>
            <b:First>Melissa</b:First>
          </b:Person>
          <b:Person>
            <b:Last>Papsun</b:Last>
            <b:Middle>M.</b:Middle>
            <b:First>Donna</b:First>
          </b:Person>
          <b:Person>
            <b:Last>Logan</b:Last>
            <b:Middle>K.</b:Middle>
            <b:First>Barry</b:First>
          </b:Person>
        </b:NameList>
      </b:Author>
    </b:Author>
    <b:Volume>10</b:Volume>
    <b:Issue>9</b:Issue>
    <b:DOI>https://doi.org/10.1002/dta.2414</b:DOI>
    <b:RefOrder>4</b:RefOrder>
  </b:Source>
  <b:Source>
    <b:Tag>Pan19</b:Tag>
    <b:SourceType>JournalArticle</b:SourceType>
    <b:Guid>{ED535542-A86C-4502-A63F-63BFCA14F93A}</b:Guid>
    <b:Title>"A retrospective analysis of data from forensic toxicology at the Academy of Forensic Science in 2017."</b:Title>
    <b:JournalName>Forensic science international</b:JournalName>
    <b:Year>2019</b:Year>
    <b:Pages>39-47</b:Pages>
    <b:Author>
      <b:Author>
        <b:NameList>
          <b:Person>
            <b:Last>Pan</b:Last>
            <b:First>Meiru</b:First>
          </b:Person>
          <b:Person>
            <b:Last>Wang</b:Last>
            <b:First>Xin</b:First>
          </b:Person>
          <b:Person>
            <b:Last>Zhao</b:Last>
            <b:First>Yunli</b:First>
          </b:Person>
          <b:Person>
            <b:Last>Liu</b:Last>
            <b:First>Wei</b:First>
          </b:Person>
          <b:Person>
            <b:Last>Xiang</b:Last>
            <b:First>Ping</b:First>
          </b:Person>
        </b:NameList>
      </b:Author>
    </b:Author>
    <b:Volume>298</b:Volume>
    <b:DOI>https://doi.org/10.1016/j.forsciint.2019.02.039</b:DOI>
    <b:RefOrder>7</b:RefOrder>
  </b:Source>
  <b:Source>
    <b:Tag>Pet17</b:Tag>
    <b:SourceType>JournalArticle</b:SourceType>
    <b:Guid>{61EB9CAF-EF5D-49F7-83B2-863E5D529472}</b:Guid>
    <b:Title>Method development in forensic toxicology.</b:Title>
    <b:JournalName>Current pharmaceutical design</b:JournalName>
    <b:Year>2017</b:Year>
    <b:Pages>5455-5467</b:Pages>
    <b:Author>
      <b:Author>
        <b:NameList>
          <b:Person>
            <b:Last>Peters</b:Last>
            <b:Middle>T.</b:Middle>
            <b:First>Frank</b:First>
          </b:Person>
          <b:Person>
            <b:Last>Wissenbach</b:Last>
            <b:Middle>K.</b:Middle>
            <b:First>Dirk</b:First>
          </b:Person>
          <b:Person>
            <b:Last>Busardo</b:Last>
            <b:Middle>P.</b:Middle>
            <b:First>Francesco</b:First>
          </b:Person>
          <b:Person>
            <b:Last>Marchei</b:Last>
            <b:First>Emilia</b:First>
          </b:Person>
          <b:Person>
            <b:Last>Pichini</b:Last>
            <b:First>Simona</b:First>
          </b:Person>
        </b:NameList>
      </b:Author>
    </b:Author>
    <b:Volume>23</b:Volume>
    <b:Issue>36</b:Issue>
    <b:DOI>10.2174/1381612823666170622113331</b:DOI>
    <b:RefOrder>6</b:RefOrder>
  </b:Source>
  <b:Source>
    <b:Tag>Sal17</b:Tag>
    <b:SourceType>JournalArticle</b:SourceType>
    <b:Guid>{779CF189-D268-4015-8F82-E396A2447626}</b:Guid>
    <b:Title>Investigating the Source of Contamination Opioid into Lead in Forensic Medicine.</b:Title>
    <b:JournalName>Journal of  Heavy Metal Toxicity and Diseases</b:JournalName>
    <b:Year>2017</b:Year>
    <b:Pages>4</b:Pages>
    <b:Author>
      <b:Author>
        <b:NameList>
          <b:Person>
            <b:Last>Salimi Asl</b:Last>
            <b:First>S.</b:First>
          </b:Person>
          <b:Person>
            <b:Last>Assareh</b:Last>
            <b:First>M.</b:First>
          </b:Person>
          <b:Person>
            <b:Last>Khodayar</b:Last>
            <b:First>M.</b:First>
          </b:Person>
          <b:Person>
            <b:Last>Mousavi</b:Last>
            <b:First>Z.</b:First>
          </b:Person>
        </b:NameList>
      </b:Author>
    </b:Author>
    <b:Volume>2</b:Volume>
    <b:Issue>2</b:Issue>
    <b:RefOrder>5</b:RefOrder>
  </b:Source>
  <b:Source>
    <b:Tag>Bar16</b:Tag>
    <b:SourceType>JournalArticle</b:SourceType>
    <b:Guid>{C967C044-9B7C-4547-97EE-55B90DF0B203}</b:Guid>
    <b:Title>Domino effect: an unusual case of six fatal hydrogen sulfide poisonings in quick succession.</b:Title>
    <b:JournalName>Forensic science international</b:JournalName>
    <b:Year>2016</b:Year>
    <b:Pages>e7-e10</b:Pages>
    <b:Volume>260</b:Volume>
    <b:DOI>https://doi.org/10.1016/j.forsciint.2016.01.021</b:DOI>
    <b:Author>
      <b:Author>
        <b:NameList>
          <b:Person>
            <b:Last>Barbera</b:Last>
            <b:First>Nunziata</b:First>
          </b:Person>
          <b:Person>
            <b:Last>Montana</b:Last>
            <b:Middle>Indorato</b:Middle>
            <b:First>rancesca</b:First>
          </b:Person>
          <b:Person>
            <b:Last>Arbouche</b:Last>
            <b:First>Nadia</b:First>
          </b:Person>
          <b:Person>
            <b:Last>Romano</b:Last>
            <b:First>Guido</b:First>
          </b:Person>
        </b:NameList>
      </b:Author>
    </b:Author>
    <b:RefOrder>1</b:RefOrder>
  </b:Source>
</b:Sources>
</file>

<file path=customXml/itemProps1.xml><?xml version="1.0" encoding="utf-8"?>
<ds:datastoreItem xmlns:ds="http://schemas.openxmlformats.org/officeDocument/2006/customXml" ds:itemID="{72F16F4E-E6A1-40BE-B57D-9BE54D789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15</Pages>
  <Words>3916</Words>
  <Characters>22326</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25</cp:revision>
  <dcterms:created xsi:type="dcterms:W3CDTF">2019-04-24T14:29:00Z</dcterms:created>
  <dcterms:modified xsi:type="dcterms:W3CDTF">2019-04-25T01:53:00Z</dcterms:modified>
</cp:coreProperties>
</file>